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335" w:rsidP="00A17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MEM18104 Dismantle, replace and assemble electrical components and equipment</w:t>
      </w:r>
      <w:r>
        <w:fldChar w:fldCharType="end"/>
      </w:r>
    </w:p>
    <w:p w:rsidR="00A17335" w:rsidP="00A17335">
      <w:pPr>
        <w:pStyle w:val="Version"/>
        <w:sectPr w:rsidSect="00AF2C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2CA7" w:rsidP="00AF2CA7">
      <w:pPr>
        <w:pStyle w:val="SuperHeading"/>
      </w:pPr>
      <w:r w:rsidRPr="00AF2CA7">
        <w:t>Assessment Requirements for MEM18104 Dismantle, replace and assemble electrical components and equipment</w:t>
      </w:r>
    </w:p>
    <w:p w:rsidR="00000000" w:rsidRPr="00AF2CA7" w:rsidP="00AF2CA7">
      <w:pPr>
        <w:pStyle w:val="Heading1"/>
      </w:pPr>
      <w:bookmarkStart w:id="1" w:name="O_968820"/>
      <w:bookmarkEnd w:id="1"/>
      <w:r w:rsidRPr="00AF2CA7">
        <w:t>Modification History</w:t>
      </w:r>
    </w:p>
    <w:p w:rsidR="00000000" w:rsidRPr="00AF2CA7" w:rsidP="00A17335">
      <w:pPr>
        <w:pStyle w:val="List"/>
      </w:pPr>
      <w:r w:rsidRPr="00AF2CA7">
        <w:t>Release 2. Prerequisite units updated</w:t>
      </w:r>
    </w:p>
    <w:p w:rsidR="00000000" w:rsidRPr="00AF2CA7" w:rsidP="00A17335">
      <w:pPr>
        <w:pStyle w:val="List"/>
      </w:pPr>
      <w:r w:rsidRPr="00AF2CA7">
        <w:t>Release 1. New unit</w:t>
      </w:r>
    </w:p>
    <w:p w:rsidR="00000000" w:rsidRPr="00AF2CA7" w:rsidP="00AF2CA7">
      <w:pPr>
        <w:pStyle w:val="AllowPageBreak"/>
      </w:pPr>
    </w:p>
    <w:p w:rsidR="00000000" w:rsidRPr="00AF2CA7" w:rsidP="00AF2CA7">
      <w:pPr>
        <w:pStyle w:val="Heading1"/>
      </w:pPr>
      <w:bookmarkStart w:id="2" w:name="O_968819"/>
      <w:bookmarkEnd w:id="2"/>
      <w:r w:rsidRPr="00AF2CA7">
        <w:t>Performance Evidence</w:t>
      </w:r>
    </w:p>
    <w:p w:rsidR="00000000" w:rsidRPr="00AF2CA7" w:rsidP="00A17335">
      <w:pPr>
        <w:pStyle w:val="BodyText"/>
      </w:pPr>
      <w:r w:rsidRPr="00AF2CA7">
        <w:t>Evidence required to demonstrate competence in this unit must be relevant to and satisfy the requirements of the elements and performance criteria on at least two occasions and include:</w:t>
      </w:r>
    </w:p>
    <w:p w:rsidR="00000000" w:rsidRPr="00AF2CA7" w:rsidP="00AF2CA7">
      <w:pPr>
        <w:pStyle w:val="ListBullet"/>
      </w:pPr>
      <w:r w:rsidRPr="00AF2CA7">
        <w:t xml:space="preserve">Following work instructions, SOPs and safe work practices </w:t>
      </w:r>
    </w:p>
    <w:p w:rsidR="00000000" w:rsidRPr="00AF2CA7" w:rsidP="00AF2CA7">
      <w:pPr>
        <w:pStyle w:val="ListBullet"/>
      </w:pPr>
      <w:r w:rsidRPr="00AF2CA7">
        <w:t>identifyin</w:t>
      </w:r>
      <w:r w:rsidRPr="00AF2CA7">
        <w:t>g and interpreting circuits, drawings and specifications relevant to the work to be undertaken</w:t>
      </w:r>
    </w:p>
    <w:p w:rsidR="00000000" w:rsidRPr="00AF2CA7" w:rsidP="00AF2CA7">
      <w:pPr>
        <w:pStyle w:val="ListBullet"/>
      </w:pPr>
      <w:r w:rsidRPr="00AF2CA7">
        <w:t>preparing component/equipment for dismantling</w:t>
      </w:r>
    </w:p>
    <w:p w:rsidR="00000000" w:rsidRPr="00AF2CA7" w:rsidP="00AF2CA7">
      <w:pPr>
        <w:pStyle w:val="ListBullet"/>
      </w:pPr>
      <w:r w:rsidRPr="00AF2CA7">
        <w:t>ensuring all handheld power tools are tested and tagged to the requirements of AS/NZS 3760:2010 In-service safety i</w:t>
      </w:r>
      <w:r w:rsidRPr="00AF2CA7">
        <w:t>nspection and testing of electrical equipment</w:t>
      </w:r>
    </w:p>
    <w:p w:rsidR="00000000" w:rsidRPr="00AF2CA7" w:rsidP="00AF2CA7">
      <w:pPr>
        <w:pStyle w:val="ListBullet"/>
      </w:pPr>
      <w:r w:rsidRPr="00AF2CA7">
        <w:t>dismantling component/equipment using appropriate techniques, tools and equipment</w:t>
      </w:r>
    </w:p>
    <w:p w:rsidR="00000000" w:rsidRPr="00AF2CA7" w:rsidP="00AF2CA7">
      <w:pPr>
        <w:pStyle w:val="ListBullet"/>
      </w:pPr>
      <w:r w:rsidRPr="00AF2CA7">
        <w:t>marking component/equipment parts appropriately to aid in reassembly</w:t>
      </w:r>
    </w:p>
    <w:p w:rsidR="00000000" w:rsidRPr="00AF2CA7" w:rsidP="00AF2CA7">
      <w:pPr>
        <w:pStyle w:val="ListBullet"/>
      </w:pPr>
      <w:r w:rsidRPr="00AF2CA7">
        <w:t>checking components visually and dimensionally for conforma</w:t>
      </w:r>
      <w:r w:rsidRPr="00AF2CA7">
        <w:t>nce to specifications</w:t>
      </w:r>
    </w:p>
    <w:p w:rsidR="00000000" w:rsidRPr="00AF2CA7" w:rsidP="00AF2CA7">
      <w:pPr>
        <w:pStyle w:val="ListBullet"/>
      </w:pPr>
      <w:r w:rsidRPr="00AF2CA7">
        <w:t>selecting and confirming replacement parts to specifications from supplier catalogues</w:t>
      </w:r>
    </w:p>
    <w:p w:rsidR="00000000" w:rsidRPr="00AF2CA7" w:rsidP="00AF2CA7">
      <w:pPr>
        <w:pStyle w:val="ListBullet"/>
      </w:pPr>
      <w:r w:rsidRPr="00AF2CA7">
        <w:t>preparing and assembling component/equipment using appropriate techniques and procedures</w:t>
      </w:r>
    </w:p>
    <w:p w:rsidR="00000000" w:rsidRPr="00AF2CA7" w:rsidP="00AF2CA7">
      <w:pPr>
        <w:pStyle w:val="ListBullet"/>
      </w:pPr>
      <w:r w:rsidRPr="00AF2CA7">
        <w:t>undertaking shaft and coupling alignment, where appropriate</w:t>
      </w:r>
    </w:p>
    <w:p w:rsidR="00000000" w:rsidRPr="00AF2CA7" w:rsidP="00AF2CA7">
      <w:pPr>
        <w:pStyle w:val="ListBullet"/>
      </w:pPr>
      <w:r w:rsidRPr="00AF2CA7">
        <w:t>applying lubricants, packing and/or sealing materials, where appropriate, in accordance with the job specifications</w:t>
      </w:r>
    </w:p>
    <w:p w:rsidR="00000000" w:rsidRPr="00AF2CA7" w:rsidP="00AF2CA7">
      <w:pPr>
        <w:pStyle w:val="ListBullet"/>
      </w:pPr>
      <w:r w:rsidRPr="00AF2CA7">
        <w:t>inspecting and checking the final assembly for conformance with operational specifications and returning to use</w:t>
      </w:r>
    </w:p>
    <w:p w:rsidR="00000000" w:rsidRPr="00AF2CA7" w:rsidP="00AF2CA7">
      <w:pPr>
        <w:pStyle w:val="ListBullet"/>
      </w:pPr>
      <w:r w:rsidRPr="00AF2CA7">
        <w:t>documenting all necessary r</w:t>
      </w:r>
      <w:r w:rsidRPr="00AF2CA7">
        <w:t>emedial action and reasons why they were carried out in accordance with SOPs.</w:t>
      </w:r>
    </w:p>
    <w:p w:rsidR="00000000" w:rsidRPr="00AF2CA7" w:rsidP="00AF2CA7">
      <w:pPr>
        <w:pStyle w:val="AllowPageBreak"/>
      </w:pPr>
    </w:p>
    <w:p w:rsidR="00000000" w:rsidRPr="00AF2CA7" w:rsidP="00AF2CA7">
      <w:pPr>
        <w:pStyle w:val="Heading1"/>
      </w:pPr>
      <w:bookmarkStart w:id="3" w:name="O_968818"/>
      <w:bookmarkEnd w:id="3"/>
      <w:r w:rsidRPr="00AF2CA7">
        <w:t>Knowledge Evidence</w:t>
      </w:r>
    </w:p>
    <w:p w:rsidR="00000000" w:rsidRPr="00AF2CA7" w:rsidP="00A17335">
      <w:pPr>
        <w:pStyle w:val="BodyText"/>
      </w:pPr>
      <w:r w:rsidRPr="00AF2CA7">
        <w:t>Evidence required to demonstrate the required kn</w:t>
      </w:r>
      <w:r w:rsidRPr="00AF2CA7">
        <w:t>owledge for this unit must be relevant to and satisfy the requirements of the elements and performance criteria and include knowledge of:</w:t>
      </w:r>
    </w:p>
    <w:p w:rsidR="00000000" w:rsidRPr="00AF2CA7" w:rsidP="00AF2CA7">
      <w:pPr>
        <w:pStyle w:val="ListBullet"/>
      </w:pPr>
      <w:r w:rsidRPr="00AF2CA7">
        <w:t>safe work practices and procedures and use of PPE</w:t>
      </w:r>
    </w:p>
    <w:p w:rsidR="00000000" w:rsidRPr="00AF2CA7" w:rsidP="00AF2CA7">
      <w:pPr>
        <w:pStyle w:val="ListBullet"/>
      </w:pPr>
      <w:r w:rsidRPr="00AF2CA7">
        <w:t>mechanical drawing interpretation, including:</w:t>
      </w:r>
    </w:p>
    <w:p w:rsidR="00000000" w:rsidRPr="00AF2CA7" w:rsidP="00AF2CA7">
      <w:pPr>
        <w:pStyle w:val="ListBullet2"/>
      </w:pPr>
      <w:r w:rsidRPr="00AF2CA7">
        <w:t>application of AS 11</w:t>
      </w:r>
      <w:r w:rsidRPr="00AF2CA7">
        <w:t>00.101-1992 Technical drawing – General principles, in accordance with SOPs</w:t>
      </w:r>
    </w:p>
    <w:p w:rsidR="00000000" w:rsidRPr="00AF2CA7" w:rsidP="00AF2CA7">
      <w:pPr>
        <w:pStyle w:val="ListBullet2"/>
      </w:pPr>
      <w:r w:rsidRPr="00AF2CA7">
        <w:t>conventions used in technical drawings, including relationship between the views contained in the drawing, objects represented, units of measurement, and dimensions of the key feat</w:t>
      </w:r>
      <w:r w:rsidRPr="00AF2CA7">
        <w:t>ures and symbols used</w:t>
      </w:r>
    </w:p>
    <w:p w:rsidR="00000000" w:rsidRPr="00AF2CA7" w:rsidP="00AF2CA7">
      <w:pPr>
        <w:pStyle w:val="ListBullet2"/>
      </w:pPr>
      <w:r w:rsidRPr="00AF2CA7">
        <w:t xml:space="preserve">correct interpretation of instructions contained in drawings </w:t>
      </w:r>
    </w:p>
    <w:p w:rsidR="00000000" w:rsidRPr="00AF2CA7" w:rsidP="00AF2CA7">
      <w:pPr>
        <w:pStyle w:val="ListBullet2"/>
      </w:pPr>
      <w:r w:rsidRPr="00AF2CA7">
        <w:t>materials from which drawing objects are made and their features and manufacturing/assembly requirements</w:t>
      </w:r>
    </w:p>
    <w:p w:rsidR="00000000" w:rsidRPr="00AF2CA7" w:rsidP="00AF2CA7">
      <w:pPr>
        <w:pStyle w:val="ListBullet"/>
      </w:pPr>
      <w:r w:rsidRPr="00AF2CA7">
        <w:t>power tools, including:</w:t>
      </w:r>
    </w:p>
    <w:p w:rsidR="00000000" w:rsidRPr="00AF2CA7" w:rsidP="00AF2CA7">
      <w:pPr>
        <w:pStyle w:val="ListBullet2"/>
      </w:pPr>
      <w:r w:rsidRPr="00AF2CA7">
        <w:t>application of different power tools, inc</w:t>
      </w:r>
      <w:r w:rsidRPr="00AF2CA7">
        <w:t>luding electric or pneumatic/hydraulic drills, grinders, jigsaws, nibblers, cutting saws, sanders, planers, routers, pedestal drills and grinders</w:t>
      </w:r>
    </w:p>
    <w:p w:rsidR="00000000" w:rsidRPr="00AF2CA7" w:rsidP="00AF2CA7">
      <w:pPr>
        <w:pStyle w:val="ListBullet2"/>
      </w:pPr>
      <w:r w:rsidRPr="00AF2CA7">
        <w:t xml:space="preserve">clamping/securing methods, including multigrips, vices, jigs, fixtures and clamps </w:t>
      </w:r>
    </w:p>
    <w:p w:rsidR="00000000" w:rsidRPr="00AF2CA7" w:rsidP="00AF2CA7">
      <w:pPr>
        <w:pStyle w:val="ListBullet2"/>
      </w:pPr>
      <w:r w:rsidRPr="00AF2CA7">
        <w:t>adjustments/alignments to a</w:t>
      </w:r>
      <w:r w:rsidRPr="00AF2CA7">
        <w:t xml:space="preserve"> range of power tools</w:t>
      </w:r>
    </w:p>
    <w:p w:rsidR="00000000" w:rsidRPr="00AF2CA7" w:rsidP="00AF2CA7">
      <w:pPr>
        <w:pStyle w:val="ListBullet2"/>
      </w:pPr>
      <w:r w:rsidRPr="00AF2CA7">
        <w:t>common faults and/or defects in power tools</w:t>
      </w:r>
    </w:p>
    <w:p w:rsidR="00000000" w:rsidRPr="00AF2CA7" w:rsidP="00AF2CA7">
      <w:pPr>
        <w:pStyle w:val="ListBullet2"/>
      </w:pPr>
      <w:r w:rsidRPr="00AF2CA7">
        <w:t>procedures for marking unsafe or faulty power tools for repair</w:t>
      </w:r>
    </w:p>
    <w:p w:rsidR="00000000" w:rsidRPr="00AF2CA7" w:rsidP="00AF2CA7">
      <w:pPr>
        <w:pStyle w:val="ListBullet2"/>
      </w:pPr>
      <w:r w:rsidRPr="00AF2CA7">
        <w:t>routine maintenance requirements and cleaning of a range of power tools, including lubricating, tightening, simple tool repairs</w:t>
      </w:r>
      <w:r w:rsidRPr="00AF2CA7">
        <w:t xml:space="preserve"> and adjustments using engineering principles, tools, equipment and procedures to statutory and regulatory requirements</w:t>
      </w:r>
    </w:p>
    <w:p w:rsidR="00000000" w:rsidRPr="00AF2CA7" w:rsidP="00AF2CA7">
      <w:pPr>
        <w:pStyle w:val="ListBullet2"/>
      </w:pPr>
      <w:r w:rsidRPr="00AF2CA7">
        <w:t>tool sharpening techniques for a range of power tools</w:t>
      </w:r>
    </w:p>
    <w:p w:rsidR="00000000" w:rsidRPr="00AF2CA7" w:rsidP="00AF2CA7">
      <w:pPr>
        <w:pStyle w:val="ListBullet2"/>
      </w:pPr>
      <w:r w:rsidRPr="00AF2CA7">
        <w:t>storage location and procedures of a range of power tools</w:t>
      </w:r>
    </w:p>
    <w:p w:rsidR="00000000" w:rsidRPr="00AF2CA7" w:rsidP="00AF2CA7">
      <w:pPr>
        <w:pStyle w:val="ListBullet2"/>
      </w:pPr>
      <w:r w:rsidRPr="00AF2CA7">
        <w:t>safety precautions when using power tools</w:t>
      </w:r>
    </w:p>
    <w:p w:rsidR="00000000" w:rsidRPr="00AF2CA7" w:rsidP="00AF2CA7">
      <w:pPr>
        <w:pStyle w:val="ListBullet"/>
      </w:pPr>
      <w:r w:rsidRPr="00AF2CA7">
        <w:t>precautions to be observed when drilling materials containing asbestos, including the following:</w:t>
      </w:r>
    </w:p>
    <w:p w:rsidR="00000000" w:rsidRPr="00AF2CA7" w:rsidP="00AF2CA7">
      <w:pPr>
        <w:pStyle w:val="ListBullet2"/>
      </w:pPr>
      <w:r w:rsidRPr="00AF2CA7">
        <w:t>undertaking a risk assessment prior to commencement of work</w:t>
      </w:r>
    </w:p>
    <w:p w:rsidR="00000000" w:rsidRPr="00AF2CA7" w:rsidP="00AF2CA7">
      <w:pPr>
        <w:pStyle w:val="ListBullet2"/>
      </w:pPr>
      <w:r w:rsidRPr="00AF2CA7">
        <w:t>a non-powered hand drill or low speed battery-powered d</w:t>
      </w:r>
      <w:r w:rsidRPr="00AF2CA7">
        <w:t>rill or drilling equipment fitted with local exhaust ventilation (LEV) dust control hood wherever possible</w:t>
      </w:r>
    </w:p>
    <w:p w:rsidR="00000000" w:rsidRPr="00AF2CA7" w:rsidP="00AF2CA7">
      <w:pPr>
        <w:pStyle w:val="ListBullet2"/>
      </w:pPr>
      <w:r w:rsidRPr="00AF2CA7">
        <w:t xml:space="preserve">safe working procedures, including applicable PPE </w:t>
      </w:r>
    </w:p>
    <w:p w:rsidR="00000000" w:rsidRPr="00AF2CA7" w:rsidP="00AF2CA7">
      <w:pPr>
        <w:pStyle w:val="ListBullet"/>
      </w:pPr>
      <w:r w:rsidRPr="00AF2CA7">
        <w:t>portable tool safety and tagging system in accordance with the requirements of AS/NZS 3760:2010 I</w:t>
      </w:r>
      <w:r w:rsidRPr="00AF2CA7">
        <w:t>n-service safety inspection and testing of electrical equipment</w:t>
      </w:r>
    </w:p>
    <w:p w:rsidR="00000000" w:rsidRPr="00AF2CA7" w:rsidP="00AF2CA7">
      <w:pPr>
        <w:pStyle w:val="ListBullet"/>
      </w:pPr>
      <w:r w:rsidRPr="00AF2CA7">
        <w:t>correct procedures for storage of hand and power tools</w:t>
      </w:r>
    </w:p>
    <w:p w:rsidR="00000000" w:rsidRPr="00AF2CA7" w:rsidP="00AF2CA7">
      <w:pPr>
        <w:pStyle w:val="ListBullet"/>
      </w:pPr>
      <w:r w:rsidRPr="00AF2CA7">
        <w:t>types of seals, bearings, fans and pulleys commonly found in electrical equipment</w:t>
      </w:r>
    </w:p>
    <w:p w:rsidR="00000000" w:rsidRPr="00AF2CA7" w:rsidP="00AF2CA7">
      <w:pPr>
        <w:pStyle w:val="ListBullet"/>
      </w:pPr>
      <w:r w:rsidRPr="00AF2CA7">
        <w:t>non-rotating DC equipment and components, including con</w:t>
      </w:r>
      <w:r w:rsidRPr="00AF2CA7">
        <w:t xml:space="preserve">struction, operation and application of: </w:t>
      </w:r>
    </w:p>
    <w:p w:rsidR="00000000" w:rsidRPr="00AF2CA7" w:rsidP="00AF2CA7">
      <w:pPr>
        <w:pStyle w:val="ListBullet2"/>
      </w:pPr>
      <w:r w:rsidRPr="00AF2CA7">
        <w:t>solenoids, relays and contactors</w:t>
      </w:r>
    </w:p>
    <w:p w:rsidR="00000000" w:rsidRPr="00AF2CA7" w:rsidP="00AF2CA7">
      <w:pPr>
        <w:pStyle w:val="ListBullet2"/>
      </w:pPr>
      <w:r w:rsidRPr="00AF2CA7">
        <w:t>linear actuators</w:t>
      </w:r>
    </w:p>
    <w:p w:rsidR="00000000" w:rsidRPr="00AF2CA7" w:rsidP="00AF2CA7">
      <w:pPr>
        <w:pStyle w:val="ListBullet2"/>
      </w:pPr>
      <w:r w:rsidRPr="00AF2CA7">
        <w:t>Hall effect devices</w:t>
      </w:r>
    </w:p>
    <w:p w:rsidR="00000000" w:rsidRPr="00AF2CA7" w:rsidP="00AF2CA7">
      <w:pPr>
        <w:pStyle w:val="ListBullet2"/>
      </w:pPr>
      <w:r w:rsidRPr="00AF2CA7">
        <w:t>magnetic sensing devices</w:t>
      </w:r>
    </w:p>
    <w:p w:rsidR="00000000" w:rsidRPr="00AF2CA7" w:rsidP="00AF2CA7">
      <w:pPr>
        <w:pStyle w:val="ListBullet2"/>
      </w:pPr>
      <w:r w:rsidRPr="00AF2CA7">
        <w:t>magnetostriction equipment</w:t>
      </w:r>
    </w:p>
    <w:p w:rsidR="00000000" w:rsidRPr="00AF2CA7" w:rsidP="00AF2CA7">
      <w:pPr>
        <w:pStyle w:val="ListBullet"/>
      </w:pPr>
      <w:r w:rsidRPr="00AF2CA7">
        <w:t>dismantling and assembly techniques, including:</w:t>
      </w:r>
    </w:p>
    <w:p w:rsidR="00000000" w:rsidRPr="00AF2CA7" w:rsidP="00AF2CA7">
      <w:pPr>
        <w:pStyle w:val="ListBullet2"/>
      </w:pPr>
      <w:r w:rsidRPr="00AF2CA7">
        <w:t>marking component/equipment parts to aid in reassemble</w:t>
      </w:r>
    </w:p>
    <w:p w:rsidR="00000000" w:rsidRPr="00AF2CA7" w:rsidP="00AF2CA7">
      <w:pPr>
        <w:pStyle w:val="ListBullet2"/>
      </w:pPr>
      <w:r w:rsidRPr="00AF2CA7">
        <w:t>selecting appropriate hand and power tools used in dismantling and assembling electrical components</w:t>
      </w:r>
    </w:p>
    <w:p w:rsidR="00000000" w:rsidRPr="00AF2CA7" w:rsidP="00AF2CA7">
      <w:pPr>
        <w:pStyle w:val="ListBullet2"/>
      </w:pPr>
      <w:r w:rsidRPr="00AF2CA7">
        <w:t>procedures for safe handling and storage of dismantled components.</w:t>
      </w:r>
    </w:p>
    <w:p w:rsidR="00000000" w:rsidRPr="00AF2CA7" w:rsidP="00AF2CA7">
      <w:pPr>
        <w:pStyle w:val="AllowPageBreak"/>
      </w:pPr>
    </w:p>
    <w:p w:rsidR="00000000" w:rsidRPr="00AF2CA7" w:rsidP="00AF2CA7">
      <w:pPr>
        <w:pStyle w:val="Heading1"/>
      </w:pPr>
      <w:bookmarkStart w:id="4" w:name="O_968817"/>
      <w:bookmarkEnd w:id="4"/>
      <w:r w:rsidRPr="00AF2CA7">
        <w:t>Assessment Condit</w:t>
      </w:r>
      <w:r w:rsidRPr="00AF2CA7">
        <w:t>ions</w:t>
      </w:r>
    </w:p>
    <w:p w:rsidR="00000000" w:rsidRPr="00AF2CA7" w:rsidP="00A17335">
      <w:pPr>
        <w:pStyle w:val="BodyText"/>
      </w:pPr>
      <w:r w:rsidRPr="00AF2CA7">
        <w:t>Assessors must:</w:t>
      </w:r>
    </w:p>
    <w:p w:rsidR="00000000" w:rsidRPr="00AF2CA7" w:rsidP="00AF2CA7">
      <w:pPr>
        <w:pStyle w:val="ListBullet"/>
      </w:pPr>
      <w:r w:rsidRPr="00AF2CA7">
        <w:t>have vocational competency in dismantling, replacing and assembling electrical components and equipment at least to the level being assessed with relevant industry knowledge and experience.</w:t>
      </w:r>
    </w:p>
    <w:p w:rsidR="00000000" w:rsidRPr="00AF2CA7" w:rsidP="00AF2CA7">
      <w:pPr>
        <w:pStyle w:val="ListBullet"/>
      </w:pPr>
      <w:r w:rsidRPr="00AF2CA7">
        <w:t xml:space="preserve">satisfy the assessor requirements in the </w:t>
      </w:r>
      <w:r w:rsidRPr="00AF2CA7">
        <w:rPr>
          <w:rStyle w:val="Emphasis"/>
        </w:rPr>
        <w:t>Sta</w:t>
      </w:r>
      <w:r w:rsidRPr="00AF2CA7">
        <w:rPr>
          <w:rStyle w:val="Emphasis"/>
        </w:rPr>
        <w:t xml:space="preserve">ndards for Registered Training Organisations 2015 </w:t>
      </w:r>
      <w:r w:rsidRPr="00AF2CA7">
        <w:t xml:space="preserve">and comply with the </w:t>
      </w:r>
      <w:r w:rsidRPr="00AF2CA7">
        <w:rPr>
          <w:rStyle w:val="Emphasis"/>
        </w:rPr>
        <w:t xml:space="preserve">National Vocational Education and Training Regulator Act 2011 </w:t>
      </w:r>
      <w:r w:rsidRPr="00AF2CA7">
        <w:t>or equivalent legislation covering VET regulation in a non-referring State as the case requires.</w:t>
      </w:r>
    </w:p>
    <w:p w:rsidR="00000000" w:rsidRPr="00AF2CA7" w:rsidP="00AF2CA7">
      <w:pPr>
        <w:pStyle w:val="BodyText"/>
      </w:pPr>
    </w:p>
    <w:p w:rsidR="00000000" w:rsidRPr="00AF2CA7" w:rsidP="00A17335">
      <w:pPr>
        <w:pStyle w:val="BodyText"/>
      </w:pPr>
      <w:r w:rsidRPr="00AF2CA7">
        <w:t xml:space="preserve">Where possible assessment </w:t>
      </w:r>
      <w:r w:rsidRPr="00AF2CA7">
        <w:t>must occur in operational workplace situations. Where this is not possible or where personal safety or environmental damage are limiting factors, assessment must occur in a sufficiently rigorous simulated environment that reflects realistic operational wor</w:t>
      </w:r>
      <w:r w:rsidRPr="00AF2CA7">
        <w:t>kplace conditions that cover all aspects of workplace performance, including environment, task skills, task management skills, contingency management skills and job role environment skills.</w:t>
      </w:r>
    </w:p>
    <w:p w:rsidR="00000000" w:rsidRPr="00AF2CA7" w:rsidP="00A17335">
      <w:pPr>
        <w:pStyle w:val="BodyText"/>
      </w:pPr>
      <w:r w:rsidRPr="00AF2CA7">
        <w:t>Conditions for assessment must include access to all tools, equip</w:t>
      </w:r>
      <w:r w:rsidRPr="00AF2CA7">
        <w:t>ment, materials and documentation required, including relevant workplace procedures, product and manufacturer specifications.</w:t>
      </w:r>
    </w:p>
    <w:p w:rsidR="00000000" w:rsidRPr="00AF2CA7" w:rsidP="00A17335">
      <w:pPr>
        <w:pStyle w:val="BodyText"/>
      </w:pPr>
      <w:r w:rsidRPr="00AF2CA7">
        <w:t>Assessment processes and techniques must be appropriate to the language, literacy and numeracy requirements of the work being performed and the needs of the candidate.</w:t>
      </w:r>
    </w:p>
    <w:p w:rsidR="00000000" w:rsidRPr="00AF2CA7" w:rsidP="00AF2CA7">
      <w:pPr>
        <w:pStyle w:val="Heading1"/>
      </w:pPr>
      <w:bookmarkStart w:id="5" w:name="O_968832"/>
      <w:bookmarkEnd w:id="5"/>
      <w:r w:rsidRPr="00AF2CA7">
        <w:t>Links</w:t>
      </w:r>
    </w:p>
    <w:p w:rsidR="00000000" w:rsidRPr="00AF2CA7" w:rsidP="00A17335">
      <w:pPr>
        <w:pStyle w:val="BodyText"/>
      </w:pPr>
      <w:r w:rsidRPr="00AF2C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C61B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F2CA7" w:rsidP="00AF2CA7"/>
    <w:sectPr w:rsidSect="00AF2C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A7" w:rsidRPr="00A17335" w:rsidP="00A17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35" w:rsidP="00AF2C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7335" w:rsidP="00AF2C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17335" w:rsidP="00AF2C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CA7" w:rsidRPr="00A17335" w:rsidP="00A173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35" w:rsidRPr="002D2AF8" w:rsidP="00AF2C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MEM18104 Dismantle, replace and assemble electrical components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17335" w:rsidP="00AF2C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9AD3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C0E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8665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C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C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C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C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C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C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C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C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C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C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C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CA7"/>
  </w:style>
  <w:style w:type="character" w:customStyle="1" w:styleId="Heading1Char">
    <w:name w:val="Heading 1 Char"/>
    <w:basedOn w:val="DefaultParagraphFont"/>
    <w:link w:val="Heading1"/>
    <w:rsid w:val="00AF2C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C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C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C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2C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2CA7"/>
    <w:rPr>
      <w:i/>
    </w:rPr>
  </w:style>
  <w:style w:type="paragraph" w:customStyle="1" w:styleId="SuperHeading">
    <w:name w:val="SuperHeading"/>
    <w:basedOn w:val="Normal"/>
    <w:rsid w:val="00AF2C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C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C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C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C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C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C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C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C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C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C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C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C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C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C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C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C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C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2CA7"/>
    <w:rPr>
      <w:b/>
      <w:spacing w:val="0"/>
    </w:rPr>
  </w:style>
  <w:style w:type="paragraph" w:customStyle="1" w:styleId="SuperTitle">
    <w:name w:val="SuperTitle"/>
    <w:basedOn w:val="Title"/>
    <w:rsid w:val="00AF2C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C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C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C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C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C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C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C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C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C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C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C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C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C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C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CA7"/>
  </w:style>
  <w:style w:type="paragraph" w:styleId="TableofFigures">
    <w:name w:val="table of figures"/>
    <w:basedOn w:val="Normal"/>
    <w:next w:val="Normal"/>
    <w:semiHidden/>
    <w:rsid w:val="00AF2C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C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CA7"/>
    <w:rPr>
      <w:rFonts w:ascii="Wingdings" w:hAnsi="Wingdings"/>
    </w:rPr>
  </w:style>
  <w:style w:type="paragraph" w:customStyle="1" w:styleId="TableHeading">
    <w:name w:val="Table Heading"/>
    <w:basedOn w:val="HeadingBase"/>
    <w:rsid w:val="00AF2C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CA7"/>
    <w:rPr>
      <w:color w:val="0033CC"/>
      <w:u w:val="none"/>
    </w:rPr>
  </w:style>
  <w:style w:type="paragraph" w:customStyle="1" w:styleId="BodyTextRight">
    <w:name w:val="Body Text Right"/>
    <w:basedOn w:val="BodyText"/>
    <w:rsid w:val="00AF2C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C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C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C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C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C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CA7"/>
    <w:rPr>
      <w:sz w:val="32"/>
    </w:rPr>
  </w:style>
  <w:style w:type="paragraph" w:customStyle="1" w:styleId="HeadingProcedure">
    <w:name w:val="Heading Procedure"/>
    <w:basedOn w:val="HeadingBase"/>
    <w:next w:val="Normal"/>
    <w:rsid w:val="00AF2C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CA7"/>
    <w:pPr>
      <w:spacing w:before="60" w:after="60"/>
    </w:pPr>
  </w:style>
  <w:style w:type="paragraph" w:styleId="ListContinue">
    <w:name w:val="List Continue"/>
    <w:basedOn w:val="List"/>
    <w:rsid w:val="00AF2CA7"/>
    <w:pPr>
      <w:ind w:firstLine="0"/>
    </w:pPr>
  </w:style>
  <w:style w:type="paragraph" w:customStyle="1" w:styleId="ListNote">
    <w:name w:val="List Note"/>
    <w:basedOn w:val="List"/>
    <w:rsid w:val="00AF2C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C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C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CA7"/>
    <w:rPr>
      <w:rFonts w:ascii="Courier New" w:hAnsi="Courier New"/>
    </w:rPr>
  </w:style>
  <w:style w:type="paragraph" w:customStyle="1" w:styleId="NoteBullet">
    <w:name w:val="Note Bullet"/>
    <w:basedOn w:val="Note"/>
    <w:rsid w:val="00AF2C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C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C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C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C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C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C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CA7"/>
    <w:rPr>
      <w:b/>
      <w:smallCaps/>
    </w:rPr>
  </w:style>
  <w:style w:type="paragraph" w:customStyle="1" w:styleId="TableListNumber">
    <w:name w:val="Table List Number"/>
    <w:basedOn w:val="ListNumber"/>
    <w:rsid w:val="00AF2C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C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CA7"/>
    <w:pPr>
      <w:numPr>
        <w:numId w:val="9"/>
      </w:numPr>
    </w:pPr>
  </w:style>
  <w:style w:type="paragraph" w:customStyle="1" w:styleId="ListAlpha2">
    <w:name w:val="List Alpha 2"/>
    <w:basedOn w:val="List2"/>
    <w:rsid w:val="00AF2CA7"/>
    <w:pPr>
      <w:numPr>
        <w:numId w:val="8"/>
      </w:numPr>
    </w:pPr>
  </w:style>
  <w:style w:type="paragraph" w:styleId="List2">
    <w:name w:val="List 2"/>
    <w:basedOn w:val="BodyText"/>
    <w:rsid w:val="00AF2C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C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C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C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C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C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CA7"/>
    <w:pPr>
      <w:numPr>
        <w:numId w:val="4"/>
      </w:numPr>
    </w:pPr>
  </w:style>
  <w:style w:type="paragraph" w:styleId="ListContinue2">
    <w:name w:val="List Continue 2"/>
    <w:basedOn w:val="List2"/>
    <w:rsid w:val="00AF2CA7"/>
    <w:pPr>
      <w:ind w:firstLine="0"/>
    </w:pPr>
  </w:style>
  <w:style w:type="paragraph" w:styleId="ListContinue3">
    <w:name w:val="List Continue 3"/>
    <w:basedOn w:val="List3"/>
    <w:rsid w:val="00AF2CA7"/>
    <w:pPr>
      <w:ind w:left="1021" w:firstLine="0"/>
    </w:pPr>
  </w:style>
  <w:style w:type="paragraph" w:styleId="ListContinue4">
    <w:name w:val="List Continue 4"/>
    <w:basedOn w:val="List4"/>
    <w:rsid w:val="00AF2CA7"/>
    <w:pPr>
      <w:ind w:firstLine="0"/>
    </w:pPr>
  </w:style>
  <w:style w:type="paragraph" w:styleId="ListContinue5">
    <w:name w:val="List Continue 5"/>
    <w:basedOn w:val="List5"/>
    <w:rsid w:val="00AF2CA7"/>
    <w:pPr>
      <w:ind w:firstLine="0"/>
    </w:pPr>
  </w:style>
  <w:style w:type="paragraph" w:styleId="ListNumber3">
    <w:name w:val="List Number 3"/>
    <w:basedOn w:val="List3"/>
    <w:rsid w:val="00AF2CA7"/>
    <w:pPr>
      <w:numPr>
        <w:numId w:val="5"/>
      </w:numPr>
    </w:pPr>
  </w:style>
  <w:style w:type="paragraph" w:styleId="ListNumber4">
    <w:name w:val="List Number 4"/>
    <w:basedOn w:val="List4"/>
    <w:rsid w:val="00AF2CA7"/>
    <w:pPr>
      <w:numPr>
        <w:numId w:val="6"/>
      </w:numPr>
    </w:pPr>
  </w:style>
  <w:style w:type="paragraph" w:styleId="ListNumber5">
    <w:name w:val="List Number 5"/>
    <w:basedOn w:val="List5"/>
    <w:rsid w:val="00AF2CA7"/>
    <w:pPr>
      <w:numPr>
        <w:numId w:val="7"/>
      </w:numPr>
    </w:pPr>
  </w:style>
  <w:style w:type="paragraph" w:styleId="BlockText">
    <w:name w:val="Block Text"/>
    <w:basedOn w:val="Normal"/>
    <w:rsid w:val="00AF2C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C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CA7"/>
    <w:rPr>
      <w:sz w:val="16"/>
      <w:vertAlign w:val="superscript"/>
    </w:rPr>
  </w:style>
  <w:style w:type="character" w:customStyle="1" w:styleId="Symbols">
    <w:name w:val="Symbols"/>
    <w:basedOn w:val="DefaultParagraphFont"/>
    <w:rsid w:val="00AF2CA7"/>
    <w:rPr>
      <w:rFonts w:ascii="Symbol" w:hAnsi="Symbol"/>
    </w:rPr>
  </w:style>
  <w:style w:type="character" w:customStyle="1" w:styleId="MenuOptions">
    <w:name w:val="Menu Options"/>
    <w:basedOn w:val="DefaultParagraphFont"/>
    <w:rsid w:val="00AF2C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CA7"/>
    <w:rPr>
      <w:b/>
    </w:rPr>
  </w:style>
  <w:style w:type="character" w:customStyle="1" w:styleId="Underlined">
    <w:name w:val="Underlined"/>
    <w:basedOn w:val="DefaultParagraphFont"/>
    <w:rsid w:val="00AF2CA7"/>
    <w:rPr>
      <w:u w:val="single"/>
    </w:rPr>
  </w:style>
  <w:style w:type="paragraph" w:customStyle="1" w:styleId="TableBodyTextRight">
    <w:name w:val="Table Body Text Right"/>
    <w:basedOn w:val="TableBodyText"/>
    <w:rsid w:val="00AF2C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CA7"/>
    <w:rPr>
      <w:sz w:val="18"/>
    </w:rPr>
  </w:style>
  <w:style w:type="paragraph" w:customStyle="1" w:styleId="BodySmallRight">
    <w:name w:val="Body Small Right"/>
    <w:basedOn w:val="BodyTextRight"/>
    <w:rsid w:val="00AF2CA7"/>
    <w:rPr>
      <w:sz w:val="18"/>
      <w:szCs w:val="18"/>
    </w:rPr>
  </w:style>
  <w:style w:type="paragraph" w:customStyle="1" w:styleId="MarginEdition">
    <w:name w:val="Margin Edition"/>
    <w:basedOn w:val="MarginNote"/>
    <w:rsid w:val="00AF2C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CA7"/>
    <w:rPr>
      <w:sz w:val="2"/>
      <w:szCs w:val="2"/>
    </w:rPr>
  </w:style>
  <w:style w:type="character" w:customStyle="1" w:styleId="Small">
    <w:name w:val="Small"/>
    <w:basedOn w:val="DefaultParagraphFont"/>
    <w:rsid w:val="00AF2CA7"/>
    <w:rPr>
      <w:sz w:val="16"/>
    </w:rPr>
  </w:style>
  <w:style w:type="paragraph" w:customStyle="1" w:styleId="WideTable">
    <w:name w:val="Wide Table"/>
    <w:basedOn w:val="Normal"/>
    <w:rsid w:val="00AF2C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CA7"/>
  </w:style>
  <w:style w:type="paragraph" w:styleId="Quote">
    <w:name w:val="Quote"/>
    <w:basedOn w:val="Heading1"/>
    <w:link w:val="QuoteChar"/>
    <w:qFormat/>
    <w:rsid w:val="00AF2C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C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CA7"/>
    <w:pPr>
      <w:pageBreakBefore/>
    </w:pPr>
  </w:style>
  <w:style w:type="paragraph" w:customStyle="1" w:styleId="Border">
    <w:name w:val="Border"/>
    <w:basedOn w:val="Normal"/>
    <w:qFormat/>
    <w:rsid w:val="00AF2C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C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C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C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C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C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C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C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C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CA7"/>
    <w:rPr>
      <w:u w:val="single"/>
    </w:rPr>
  </w:style>
  <w:style w:type="character" w:customStyle="1" w:styleId="BoldandItalics">
    <w:name w:val="Bold and Italics"/>
    <w:qFormat/>
    <w:rsid w:val="00AF2CA7"/>
    <w:rPr>
      <w:b/>
      <w:i/>
      <w:u w:val="none"/>
    </w:rPr>
  </w:style>
  <w:style w:type="paragraph" w:styleId="BalloonText">
    <w:name w:val="Balloon Text"/>
    <w:basedOn w:val="Normal"/>
    <w:link w:val="BalloonTextChar"/>
    <w:rsid w:val="00AF2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C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C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C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C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C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CA7"/>
    <w:pPr>
      <w:spacing w:before="0" w:after="0"/>
    </w:pPr>
  </w:style>
  <w:style w:type="paragraph" w:customStyle="1" w:styleId="BodyTextBold">
    <w:name w:val="Body Text Bold"/>
    <w:basedOn w:val="BodyText"/>
    <w:qFormat/>
    <w:rsid w:val="00AF2CA7"/>
    <w:rPr>
      <w:b/>
    </w:rPr>
  </w:style>
  <w:style w:type="character" w:styleId="Hyperlink">
    <w:name w:val="Hyperlink"/>
    <w:basedOn w:val="DefaultParagraphFont"/>
    <w:uiPriority w:val="99"/>
    <w:unhideWhenUsed/>
    <w:rsid w:val="00A173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5326</Characters>
  <Application>Microsoft Office Word</Application>
  <DocSecurity>0</DocSecurity>
  <Lines>115</Lines>
  <Paragraphs>75</Paragraphs>
  <ScaleCrop>false</ScaleCrop>
  <Company>Author-it Software Corporation Ltd.</Company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MEM18104 Dismantle, replace and assemble electrical components and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