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048" w:rsidP="005F5048">
      <w:pPr>
        <w:pStyle w:val="Title"/>
      </w:pPr>
      <w:r>
        <w:fldChar w:fldCharType="begin"/>
      </w:r>
      <w:r>
        <w:instrText xml:space="preserve"> TITLE   \* MERGEFORMAT </w:instrText>
      </w:r>
      <w:r>
        <w:fldChar w:fldCharType="separate"/>
      </w:r>
      <w:r>
        <w:t>MEM18102 Fault-find, test and rectify single and three-phase transformers</w:t>
      </w:r>
      <w:r>
        <w:fldChar w:fldCharType="end"/>
      </w:r>
    </w:p>
    <w:p w:rsidR="005F5048" w:rsidP="005F5048">
      <w:pPr>
        <w:pStyle w:val="Version"/>
        <w:sectPr w:rsidSect="001A63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A63B1" w:rsidP="001A63B1">
      <w:pPr>
        <w:pStyle w:val="SuperHeading"/>
      </w:pPr>
      <w:r w:rsidRPr="001A63B1">
        <w:t>MEM18102 Fault-find, test and rectify single and three-phase transformers</w:t>
      </w:r>
    </w:p>
    <w:p w:rsidR="00000000" w:rsidRPr="001A63B1" w:rsidP="001A63B1">
      <w:pPr>
        <w:pStyle w:val="Heading1"/>
      </w:pPr>
      <w:bookmarkStart w:id="1" w:name="O_968794"/>
      <w:bookmarkEnd w:id="1"/>
      <w:r w:rsidRPr="001A63B1">
        <w:t>Modification History</w:t>
      </w:r>
    </w:p>
    <w:p w:rsidR="00000000" w:rsidRPr="001A63B1" w:rsidP="005F5048">
      <w:pPr>
        <w:pStyle w:val="Heading3"/>
      </w:pPr>
      <w:r w:rsidRPr="001A63B1">
        <w:t>Release 3. Prerequisite units updated</w:t>
      </w:r>
    </w:p>
    <w:p w:rsidR="00000000" w:rsidRPr="001A63B1" w:rsidP="005F5048">
      <w:pPr>
        <w:pStyle w:val="BodyText"/>
      </w:pPr>
      <w:r w:rsidRPr="001A63B1">
        <w:t>Release 2. Minor adjustments to reflect ERAC requirements for electrician licensing and revision of Essential Performance Capabilities</w:t>
      </w:r>
    </w:p>
    <w:p w:rsidR="00000000" w:rsidRPr="001A63B1" w:rsidP="005F5048">
      <w:pPr>
        <w:pStyle w:val="BodyText"/>
      </w:pPr>
      <w:r w:rsidRPr="001A63B1">
        <w:t>Release 1. New unit</w:t>
      </w:r>
    </w:p>
    <w:p w:rsidR="00000000" w:rsidRPr="001A63B1" w:rsidP="001A63B1">
      <w:pPr>
        <w:pStyle w:val="Heading1"/>
      </w:pPr>
      <w:bookmarkStart w:id="2" w:name="O_968793"/>
      <w:bookmarkEnd w:id="2"/>
      <w:r w:rsidRPr="001A63B1">
        <w:t>Application</w:t>
      </w:r>
    </w:p>
    <w:p w:rsidR="00000000" w:rsidRPr="001A63B1" w:rsidP="005F5048">
      <w:pPr>
        <w:pStyle w:val="BodyText"/>
      </w:pPr>
      <w:r w:rsidRPr="001A63B1">
        <w:t xml:space="preserve">This unit of competency has been developed for Engineering Tradesperson </w:t>
      </w:r>
      <w:r w:rsidRPr="001A63B1">
        <w:t xml:space="preserve">– industrial electrician apprenticeship training and the recognition of trade-level skills in fault finding and rectifying single and three-phase transformers. </w:t>
      </w:r>
    </w:p>
    <w:p w:rsidR="00000000" w:rsidRPr="001A63B1" w:rsidP="005F5048">
      <w:pPr>
        <w:pStyle w:val="BodyText"/>
      </w:pPr>
      <w:r w:rsidRPr="001A63B1">
        <w:t>It includes the operating principles of transformers, their construction and open circuit and f</w:t>
      </w:r>
      <w:r w:rsidRPr="001A63B1">
        <w:t>ull load characteristics; types of transformers used in transmission and distribution systems, appliances and welding machines; hazards associated with step and touch voltages, induced voltages and stored energy particularly with high voltages; earthing re</w:t>
      </w:r>
      <w:r w:rsidRPr="001A63B1">
        <w:t>quirements to limit the rise of touch voltage; safe working procedures for connecting and testing and fault finding transformers.</w:t>
      </w:r>
    </w:p>
    <w:p w:rsidR="00000000" w:rsidRPr="001A63B1" w:rsidP="005F5048">
      <w:pPr>
        <w:pStyle w:val="BodyText"/>
      </w:pPr>
      <w:r w:rsidRPr="001A63B1">
        <w:t>This unit covers the skills and knowledge required to meet the Electrical Regulatory Authorities Council (ERAC).</w:t>
      </w:r>
    </w:p>
    <w:p w:rsidR="00000000" w:rsidRPr="001A63B1" w:rsidP="005F5048">
      <w:pPr>
        <w:pStyle w:val="BodyText"/>
      </w:pPr>
      <w:r w:rsidRPr="001A63B1">
        <w:t>Essential Per</w:t>
      </w:r>
      <w:r w:rsidRPr="001A63B1">
        <w:t>formance Capabilities (EPCs):</w:t>
      </w:r>
    </w:p>
    <w:p w:rsidR="00000000" w:rsidRPr="001A63B1" w:rsidP="001A63B1">
      <w:pPr>
        <w:pStyle w:val="ListBullet"/>
      </w:pPr>
      <w:r w:rsidRPr="001A63B1">
        <w:t>EPC 18 – Describe the basic construction, principles of operation, and typical applications of the main types of transformers.</w:t>
      </w:r>
    </w:p>
    <w:p w:rsidR="00000000" w:rsidRPr="001A63B1" w:rsidP="005F5048">
      <w:pPr>
        <w:pStyle w:val="Heading3"/>
      </w:pPr>
      <w:r w:rsidRPr="001A63B1">
        <w:t>And</w:t>
      </w:r>
    </w:p>
    <w:p w:rsidR="00000000" w:rsidRPr="001A63B1" w:rsidP="005F5048">
      <w:pPr>
        <w:pStyle w:val="BodyText"/>
      </w:pPr>
      <w:r w:rsidRPr="001A63B1">
        <w:t>Essential Performance Capabilities (EPCs) classified as ‘critical’:</w:t>
      </w:r>
    </w:p>
    <w:p w:rsidR="00000000" w:rsidRPr="001A63B1" w:rsidP="001A63B1">
      <w:pPr>
        <w:pStyle w:val="ListBullet"/>
      </w:pPr>
      <w:r w:rsidRPr="001A63B1">
        <w:t>EPC 19 – List the key s</w:t>
      </w:r>
      <w:r w:rsidRPr="001A63B1">
        <w:t>afety issues of various types of transformers, including AS/NZS 3000 requirements.</w:t>
      </w:r>
    </w:p>
    <w:p w:rsidR="00000000" w:rsidRPr="001A63B1" w:rsidP="001A63B1">
      <w:pPr>
        <w:pStyle w:val="ListBullet"/>
      </w:pPr>
      <w:r w:rsidRPr="001A63B1">
        <w:t>EPC 48 – Demonstrate knowledge and understanding of the significant dangers of High Voltage equipment and distribution systems.</w:t>
      </w:r>
    </w:p>
    <w:p w:rsidR="00000000" w:rsidRPr="001A63B1" w:rsidP="005F5048">
      <w:pPr>
        <w:pStyle w:val="BodyText"/>
      </w:pPr>
      <w:r w:rsidRPr="001A63B1">
        <w:t>Some jurisdictions require the holder of this</w:t>
      </w:r>
      <w:r w:rsidRPr="001A63B1">
        <w:t xml:space="preserve"> unit to be licensed or certified and users should check with the relevant authorities.</w:t>
      </w:r>
    </w:p>
    <w:p w:rsidR="00000000" w:rsidRPr="001A63B1" w:rsidP="001A63B1">
      <w:pPr>
        <w:pStyle w:val="BodyText"/>
      </w:pPr>
      <w:r w:rsidRPr="001A63B1">
        <w:rPr>
          <w:rStyle w:val="SpecialBold"/>
        </w:rPr>
        <w:t>Band:</w:t>
      </w:r>
      <w:r w:rsidRPr="001A63B1">
        <w:rPr>
          <w:rStyle w:val="SpecialBold"/>
        </w:rPr>
        <w:tab/>
        <w:t>A</w:t>
      </w:r>
    </w:p>
    <w:p w:rsidR="00000000" w:rsidRPr="001A63B1" w:rsidP="001A63B1">
      <w:pPr>
        <w:pStyle w:val="BodyText"/>
      </w:pPr>
      <w:r w:rsidRPr="001A63B1">
        <w:rPr>
          <w:rStyle w:val="SpecialBold"/>
        </w:rPr>
        <w:t>Unit Weight:</w:t>
      </w:r>
      <w:r w:rsidRPr="001A63B1">
        <w:rPr>
          <w:rStyle w:val="SpecialBold"/>
        </w:rPr>
        <w:tab/>
        <w:t>4</w:t>
      </w:r>
    </w:p>
    <w:p w:rsidR="00000000" w:rsidRPr="001A63B1" w:rsidP="001A63B1">
      <w:pPr>
        <w:pStyle w:val="AllowPageBreak"/>
      </w:pPr>
    </w:p>
    <w:p w:rsidR="00000000" w:rsidRPr="001A63B1" w:rsidP="001A63B1">
      <w:pPr>
        <w:pStyle w:val="Heading1"/>
      </w:pPr>
      <w:bookmarkStart w:id="3" w:name="O_968792"/>
      <w:bookmarkEnd w:id="3"/>
      <w:r w:rsidRPr="001A63B1">
        <w:t>Pre-requisite Unit</w:t>
      </w:r>
    </w:p>
    <w:tbl>
      <w:tblPr>
        <w:tblW w:w="0" w:type="auto"/>
        <w:tblLayout w:type="fixed"/>
        <w:tblCellMar>
          <w:left w:w="62" w:type="dxa"/>
          <w:right w:w="62" w:type="dxa"/>
        </w:tblCellMar>
        <w:tblLook w:val="0000"/>
      </w:tblPr>
      <w:tblGrid>
        <w:gridCol w:w="2097"/>
        <w:gridCol w:w="6249"/>
      </w:tblGrid>
      <w:tr w:rsidTr="001A63B1">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MEM10016</w:t>
            </w:r>
          </w:p>
        </w:tc>
        <w:tc>
          <w:tcPr>
            <w:tcW w:w="6249"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Terminate and test electrical wiring and accessories</w:t>
            </w:r>
          </w:p>
        </w:tc>
      </w:tr>
      <w:tr w:rsidTr="001A63B1">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MEM10018</w:t>
            </w:r>
          </w:p>
        </w:tc>
        <w:tc>
          <w:tcPr>
            <w:tcW w:w="6249"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Select cable types and sizes to suit loads and electrical installation environment</w:t>
            </w:r>
          </w:p>
        </w:tc>
      </w:tr>
      <w:tr w:rsidTr="001A63B1">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MEM10019</w:t>
            </w:r>
          </w:p>
        </w:tc>
        <w:tc>
          <w:tcPr>
            <w:tcW w:w="6249"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Select circuit protection devices by type and rating, fit to switchboards and install earthing</w:t>
            </w:r>
          </w:p>
        </w:tc>
      </w:tr>
      <w:tr w:rsidTr="001A63B1">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MEM12023</w:t>
            </w:r>
          </w:p>
        </w:tc>
        <w:tc>
          <w:tcPr>
            <w:tcW w:w="6249"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Perform engineering measurements</w:t>
            </w:r>
          </w:p>
        </w:tc>
      </w:tr>
      <w:tr w:rsidTr="001A63B1">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MEM18001</w:t>
            </w:r>
          </w:p>
        </w:tc>
        <w:tc>
          <w:tcPr>
            <w:tcW w:w="6249"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Use hand tools</w:t>
            </w:r>
          </w:p>
        </w:tc>
      </w:tr>
      <w:tr w:rsidTr="001A63B1">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MEM18104</w:t>
            </w:r>
          </w:p>
        </w:tc>
        <w:tc>
          <w:tcPr>
            <w:tcW w:w="6249" w:type="dxa"/>
            <w:tcBorders>
              <w:top w:val="nil"/>
              <w:left w:val="nil"/>
              <w:bottom w:val="nil"/>
              <w:right w:val="nil"/>
            </w:tcBorders>
            <w:tcMar>
              <w:top w:w="0" w:type="dxa"/>
              <w:left w:w="62" w:type="dxa"/>
              <w:bottom w:w="0" w:type="dxa"/>
              <w:right w:w="62" w:type="dxa"/>
            </w:tcMar>
          </w:tcPr>
          <w:p w:rsidR="00000000" w:rsidRPr="001A63B1" w:rsidP="001A63B1">
            <w:pPr>
              <w:pStyle w:val="BodyText"/>
            </w:pPr>
            <w:r w:rsidRPr="001A63B1">
              <w:t>Dismantle, replace and assemble electrical components and equipment</w:t>
            </w:r>
          </w:p>
        </w:tc>
      </w:tr>
    </w:tbl>
    <w:p w:rsidR="00000000" w:rsidRPr="001A63B1" w:rsidP="001A63B1">
      <w:pPr>
        <w:pStyle w:val="BodyText"/>
      </w:pPr>
    </w:p>
    <w:p w:rsidR="00000000" w:rsidRPr="001A63B1" w:rsidP="001A63B1">
      <w:pPr>
        <w:pStyle w:val="AllowPageBreak"/>
      </w:pPr>
    </w:p>
    <w:p w:rsidR="00000000" w:rsidRPr="001A63B1" w:rsidP="001A63B1">
      <w:pPr>
        <w:pStyle w:val="Heading1"/>
      </w:pPr>
      <w:bookmarkStart w:id="4" w:name="O_968791"/>
      <w:bookmarkEnd w:id="4"/>
      <w:r w:rsidRPr="001A63B1">
        <w:t>Competency Field</w:t>
      </w:r>
    </w:p>
    <w:p w:rsidR="00000000" w:rsidRPr="001A63B1" w:rsidP="005F5048">
      <w:pPr>
        <w:pStyle w:val="BodyText"/>
      </w:pPr>
      <w:r w:rsidRPr="001A63B1">
        <w:t>Maintenance and diagnostics</w:t>
      </w:r>
    </w:p>
    <w:p w:rsidR="00000000" w:rsidRPr="001A63B1" w:rsidP="001A63B1">
      <w:pPr>
        <w:pStyle w:val="Heading1"/>
      </w:pPr>
      <w:bookmarkStart w:id="5" w:name="O_968789"/>
      <w:bookmarkEnd w:id="5"/>
      <w:r w:rsidRPr="001A63B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1A63B1">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 xml:space="preserve">Performance criteria describe the performance needed to demonstrate achievement of the element. </w:t>
            </w:r>
          </w:p>
        </w:tc>
      </w:tr>
      <w:tr w:rsidTr="001A63B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1.</w:t>
            </w:r>
          </w:p>
        </w:tc>
        <w:tc>
          <w:tcPr>
            <w:tcW w:w="2100" w:type="dxa"/>
            <w:vMerge w:val="restart"/>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Determine job requirements</w:t>
            </w: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1.1</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Follow standard operating procedures (SOPs)</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1.2</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Comply with work health and safety (WHS) requirements at all times, including appropriate risk control measures</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1.3</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Use appropriate personal protective equipment (PPE) in accordance with SOPs</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1.4</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Research the nature of the fault through checking of d</w:t>
            </w:r>
            <w:r w:rsidRPr="001A63B1">
              <w:t>ocumentation and/or consultation with appropriate person</w:t>
            </w:r>
          </w:p>
        </w:tc>
      </w:tr>
      <w:tr w:rsidTr="001A63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63B1">
            <w:pPr>
              <w:pStyle w:val="BodyText"/>
              <w:rPr>
                <w:lang w:val="en-NZ"/>
              </w:rPr>
            </w:pPr>
          </w:p>
        </w:tc>
      </w:tr>
      <w:tr w:rsidTr="001A63B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2.</w:t>
            </w:r>
          </w:p>
        </w:tc>
        <w:tc>
          <w:tcPr>
            <w:tcW w:w="2100" w:type="dxa"/>
            <w:vMerge w:val="restart"/>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Prepare to fault find single and three-phase transformers and associated circuits</w:t>
            </w: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2.1</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Obtain all necessary tools, equipment and testing instruments needed to conduct fault diagnosis of single and three-phase transformers and circuits</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2.2</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 xml:space="preserve">Isolate and tag circuits and equipment in accordance </w:t>
            </w:r>
            <w:r w:rsidRPr="001A63B1">
              <w:t>with procedures</w:t>
            </w:r>
          </w:p>
        </w:tc>
      </w:tr>
      <w:tr w:rsidTr="001A63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A63B1">
            <w:pPr>
              <w:pStyle w:val="BodyText"/>
              <w:rPr>
                <w:lang w:val="en-NZ"/>
              </w:rPr>
            </w:pPr>
          </w:p>
        </w:tc>
      </w:tr>
      <w:tr w:rsidTr="001A63B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3.</w:t>
            </w:r>
          </w:p>
        </w:tc>
        <w:tc>
          <w:tcPr>
            <w:tcW w:w="2100" w:type="dxa"/>
            <w:vMerge w:val="restart"/>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Fault find single and three-phase transformers and associated circuits</w:t>
            </w: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3.1</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Apply diagnostic techniques to fault find single and three-phase transformers and associated circuits using appropriate test equipment</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3.2</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Remove/repair/replace faulty components</w:t>
            </w:r>
            <w:r w:rsidRPr="001A63B1">
              <w:t>/circuits in accordance with manufacturer specifications and regulatory requirements</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3.3</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Test single and three-phase transformers associated circuits to ensure functionality in accordance with specifications</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3.4</w:t>
            </w:r>
          </w:p>
        </w:tc>
        <w:tc>
          <w:tcPr>
            <w:tcW w:w="561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Carry out routine maintenance on transformers, including oil testing, silica gel change and bushing repairs, where applicable</w:t>
            </w:r>
          </w:p>
        </w:tc>
      </w:tr>
      <w:tr w:rsidTr="001A63B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3.5</w:t>
            </w:r>
          </w:p>
        </w:tc>
        <w:tc>
          <w:tcPr>
            <w:tcW w:w="5610" w:type="dxa"/>
            <w:tcBorders>
              <w:top w:val="nil"/>
              <w:left w:val="nil"/>
              <w:bottom w:val="nil"/>
              <w:right w:val="nil"/>
            </w:tcBorders>
            <w:tcMar>
              <w:top w:w="0" w:type="dxa"/>
              <w:left w:w="62" w:type="dxa"/>
              <w:bottom w:w="0" w:type="dxa"/>
              <w:right w:w="62" w:type="dxa"/>
            </w:tcMar>
          </w:tcPr>
          <w:p w:rsidR="00000000" w:rsidRPr="001A63B1" w:rsidP="001A63B1">
            <w:pPr>
              <w:pStyle w:val="BodyText"/>
            </w:pPr>
            <w:r w:rsidRPr="001A63B1">
              <w:t>Document all necessary repairs in accordance with SOPs</w:t>
            </w:r>
          </w:p>
        </w:tc>
      </w:tr>
    </w:tbl>
    <w:p w:rsidR="00000000" w:rsidRPr="001A63B1" w:rsidP="001A63B1">
      <w:pPr>
        <w:pStyle w:val="BodyText"/>
      </w:pPr>
    </w:p>
    <w:p w:rsidR="00000000" w:rsidRPr="001A63B1" w:rsidP="001A63B1">
      <w:pPr>
        <w:pStyle w:val="AllowPageBreak"/>
      </w:pPr>
    </w:p>
    <w:p w:rsidR="00000000" w:rsidRPr="001A63B1" w:rsidP="001A63B1">
      <w:pPr>
        <w:pStyle w:val="Heading1"/>
      </w:pPr>
      <w:bookmarkStart w:id="6" w:name="O_968788"/>
      <w:bookmarkEnd w:id="6"/>
      <w:r w:rsidRPr="001A63B1">
        <w:t>Foundation Skills</w:t>
      </w:r>
    </w:p>
    <w:p w:rsidR="00000000" w:rsidRPr="001A63B1" w:rsidP="005F5048">
      <w:pPr>
        <w:pStyle w:val="BodyText"/>
      </w:pPr>
      <w:r w:rsidRPr="001A63B1">
        <w:t>This section describes those re</w:t>
      </w:r>
      <w:r w:rsidRPr="001A63B1">
        <w:t>quired skills (reading, writing, oral communication and numeracy) that are essential to workplace performance in this unit of competency.</w:t>
      </w:r>
    </w:p>
    <w:p w:rsidR="00000000" w:rsidRPr="001A63B1" w:rsidP="005F5048">
      <w:pPr>
        <w:pStyle w:val="BodyText"/>
      </w:pPr>
      <w:r w:rsidRPr="001A63B1">
        <w:t>Foundation skills essential to performance are explicit in the performance criteria of this unit of competency.</w:t>
      </w:r>
    </w:p>
    <w:p w:rsidR="00000000" w:rsidRPr="001A63B1" w:rsidP="001A63B1">
      <w:pPr>
        <w:pStyle w:val="Heading1"/>
      </w:pPr>
      <w:bookmarkStart w:id="7" w:name="O_968787"/>
      <w:bookmarkEnd w:id="7"/>
      <w:r w:rsidRPr="001A63B1">
        <w:t>Range of Conditions</w:t>
      </w:r>
    </w:p>
    <w:tbl>
      <w:tblPr>
        <w:tblW w:w="9286" w:type="dxa"/>
        <w:tblLayout w:type="fixed"/>
        <w:tblCellMar>
          <w:left w:w="62" w:type="dxa"/>
          <w:right w:w="62" w:type="dxa"/>
        </w:tblCellMar>
        <w:tblLook w:val="0000"/>
      </w:tblPr>
      <w:tblGrid>
        <w:gridCol w:w="2726"/>
        <w:gridCol w:w="6560"/>
      </w:tblGrid>
      <w:tr w:rsidTr="001A63B1">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t xml:space="preserve">This field allows for different work environments and conditions that may affect performance. Essential operating conditions that may be present (depending on the work situation, needs of the candidate, accessibility of </w:t>
            </w:r>
            <w:r w:rsidRPr="001A63B1">
              <w:t>the item, and local industry and regional contexts) are included.</w:t>
            </w:r>
          </w:p>
        </w:tc>
      </w:tr>
      <w:tr w:rsidTr="001A63B1">
        <w:tblPrEx>
          <w:tblW w:w="9286" w:type="dxa"/>
          <w:tblLayout w:type="fixed"/>
          <w:tblCellMar>
            <w:left w:w="62" w:type="dxa"/>
            <w:right w:w="62" w:type="dxa"/>
          </w:tblCellMar>
          <w:tblLook w:val="0000"/>
        </w:tblPrEx>
        <w:trPr>
          <w:trHeight w:val="3382"/>
        </w:trPr>
        <w:tc>
          <w:tcPr>
            <w:tcW w:w="2726"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rPr>
                <w:rStyle w:val="SpecialBold"/>
              </w:rPr>
              <w:t>Transformers include two (2) or more of the following:</w:t>
            </w:r>
          </w:p>
        </w:tc>
        <w:tc>
          <w:tcPr>
            <w:tcW w:w="6560" w:type="dxa"/>
            <w:tcBorders>
              <w:top w:val="nil"/>
              <w:left w:val="nil"/>
              <w:bottom w:val="nil"/>
              <w:right w:val="nil"/>
            </w:tcBorders>
            <w:tcMar>
              <w:top w:w="0" w:type="dxa"/>
              <w:left w:w="62" w:type="dxa"/>
              <w:bottom w:w="0" w:type="dxa"/>
              <w:right w:w="62" w:type="dxa"/>
            </w:tcMar>
          </w:tcPr>
          <w:p w:rsidR="00000000" w:rsidRPr="001A63B1" w:rsidP="001A63B1">
            <w:pPr>
              <w:pStyle w:val="ListBullet"/>
            </w:pPr>
            <w:r w:rsidRPr="001A63B1">
              <w:t>instrument</w:t>
            </w:r>
          </w:p>
          <w:p w:rsidR="00000000" w:rsidRPr="001A63B1" w:rsidP="001A63B1">
            <w:pPr>
              <w:pStyle w:val="ListBullet"/>
            </w:pPr>
            <w:r w:rsidRPr="001A63B1">
              <w:t>current</w:t>
            </w:r>
          </w:p>
          <w:p w:rsidR="00000000" w:rsidRPr="001A63B1" w:rsidP="001A63B1">
            <w:pPr>
              <w:pStyle w:val="ListBullet"/>
            </w:pPr>
            <w:r w:rsidRPr="001A63B1">
              <w:t xml:space="preserve">voltage </w:t>
            </w:r>
          </w:p>
          <w:p w:rsidR="00000000" w:rsidRPr="001A63B1" w:rsidP="001A63B1">
            <w:pPr>
              <w:pStyle w:val="ListBullet"/>
            </w:pPr>
            <w:r w:rsidRPr="001A63B1">
              <w:t>oil filled transformers</w:t>
            </w:r>
          </w:p>
          <w:p w:rsidR="00000000" w:rsidRPr="001A63B1" w:rsidP="001A63B1">
            <w:pPr>
              <w:pStyle w:val="ListBullet"/>
            </w:pPr>
            <w:r w:rsidRPr="001A63B1">
              <w:t>high voltage (HV) power transformers</w:t>
            </w:r>
          </w:p>
          <w:p w:rsidR="00000000" w:rsidRPr="001A63B1" w:rsidP="001A63B1">
            <w:pPr>
              <w:pStyle w:val="ListBullet"/>
            </w:pPr>
            <w:r w:rsidRPr="001A63B1">
              <w:t>low voltage (LV) power transformers</w:t>
            </w:r>
          </w:p>
          <w:p w:rsidR="00000000" w:rsidRPr="001A63B1" w:rsidP="001A63B1">
            <w:pPr>
              <w:pStyle w:val="ListBullet"/>
            </w:pPr>
            <w:r w:rsidRPr="001A63B1">
              <w:t>neutral</w:t>
            </w:r>
          </w:p>
          <w:p w:rsidR="00000000" w:rsidRPr="001A63B1" w:rsidP="001A63B1">
            <w:pPr>
              <w:pStyle w:val="ListBullet"/>
            </w:pPr>
            <w:r w:rsidRPr="001A63B1">
              <w:t>distribution:</w:t>
            </w:r>
          </w:p>
          <w:p w:rsidR="00000000" w:rsidRPr="001A63B1" w:rsidP="001A63B1">
            <w:pPr>
              <w:pStyle w:val="ListBullet2"/>
            </w:pPr>
            <w:r w:rsidRPr="001A63B1">
              <w:t>step up</w:t>
            </w:r>
          </w:p>
          <w:p w:rsidR="00000000" w:rsidP="001A63B1">
            <w:pPr>
              <w:pStyle w:val="ListBullet2"/>
              <w:rPr>
                <w:lang w:val="en-NZ"/>
              </w:rPr>
            </w:pPr>
            <w:r w:rsidRPr="001A63B1">
              <w:t>step down</w:t>
            </w:r>
          </w:p>
        </w:tc>
      </w:tr>
      <w:tr w:rsidTr="001A63B1">
        <w:tblPrEx>
          <w:tblW w:w="9286" w:type="dxa"/>
          <w:tblLayout w:type="fixed"/>
          <w:tblCellMar>
            <w:left w:w="62" w:type="dxa"/>
            <w:right w:w="62" w:type="dxa"/>
          </w:tblCellMar>
          <w:tblLook w:val="0000"/>
        </w:tblPrEx>
        <w:trPr>
          <w:trHeight w:val="702"/>
        </w:trPr>
        <w:tc>
          <w:tcPr>
            <w:tcW w:w="2726"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rPr>
                <w:rStyle w:val="SpecialBold"/>
              </w:rPr>
              <w:t>Regulatory requirements include:</w:t>
            </w:r>
          </w:p>
        </w:tc>
        <w:tc>
          <w:tcPr>
            <w:tcW w:w="6560" w:type="dxa"/>
            <w:tcBorders>
              <w:top w:val="nil"/>
              <w:left w:val="nil"/>
              <w:bottom w:val="nil"/>
              <w:right w:val="nil"/>
            </w:tcBorders>
            <w:tcMar>
              <w:top w:w="0" w:type="dxa"/>
              <w:left w:w="62" w:type="dxa"/>
              <w:bottom w:w="0" w:type="dxa"/>
              <w:right w:w="62" w:type="dxa"/>
            </w:tcMar>
          </w:tcPr>
          <w:p w:rsidR="00000000" w:rsidP="001A63B1">
            <w:pPr>
              <w:pStyle w:val="ListBullet"/>
              <w:rPr>
                <w:lang w:val="en-NZ"/>
              </w:rPr>
            </w:pPr>
            <w:r w:rsidRPr="001A63B1">
              <w:t>AS/NZS 3000:2007 Electrical installations (known as the Australian/New Zealand Wiring Rules</w:t>
            </w:r>
          </w:p>
        </w:tc>
      </w:tr>
      <w:tr w:rsidTr="001A63B1">
        <w:tblPrEx>
          <w:tblW w:w="9286" w:type="dxa"/>
          <w:tblLayout w:type="fixed"/>
          <w:tblCellMar>
            <w:left w:w="62" w:type="dxa"/>
            <w:right w:w="62" w:type="dxa"/>
          </w:tblCellMar>
          <w:tblLook w:val="0000"/>
        </w:tblPrEx>
        <w:trPr>
          <w:trHeight w:val="702"/>
        </w:trPr>
        <w:tc>
          <w:tcPr>
            <w:tcW w:w="2726" w:type="dxa"/>
            <w:tcBorders>
              <w:top w:val="nil"/>
              <w:left w:val="nil"/>
              <w:bottom w:val="nil"/>
              <w:right w:val="nil"/>
            </w:tcBorders>
            <w:tcMar>
              <w:top w:w="0" w:type="dxa"/>
              <w:left w:w="62" w:type="dxa"/>
              <w:bottom w:w="0" w:type="dxa"/>
              <w:right w:w="62" w:type="dxa"/>
            </w:tcMar>
          </w:tcPr>
          <w:p w:rsidR="00000000" w:rsidP="001A63B1">
            <w:pPr>
              <w:pStyle w:val="BodyText"/>
              <w:rPr>
                <w:lang w:val="en-NZ"/>
              </w:rPr>
            </w:pPr>
            <w:r w:rsidRPr="001A63B1">
              <w:rPr>
                <w:rStyle w:val="SpecialBold"/>
              </w:rPr>
              <w:t>Safe working practices include:</w:t>
            </w:r>
          </w:p>
        </w:tc>
        <w:tc>
          <w:tcPr>
            <w:tcW w:w="6560" w:type="dxa"/>
            <w:tcBorders>
              <w:top w:val="nil"/>
              <w:left w:val="nil"/>
              <w:bottom w:val="nil"/>
              <w:right w:val="nil"/>
            </w:tcBorders>
            <w:tcMar>
              <w:top w:w="0" w:type="dxa"/>
              <w:left w:w="62" w:type="dxa"/>
              <w:bottom w:w="0" w:type="dxa"/>
              <w:right w:w="62" w:type="dxa"/>
            </w:tcMar>
          </w:tcPr>
          <w:p w:rsidR="00000000" w:rsidRPr="001A63B1" w:rsidP="001A63B1">
            <w:pPr>
              <w:pStyle w:val="ListBullet"/>
            </w:pPr>
            <w:r w:rsidRPr="001A63B1">
              <w:t xml:space="preserve">demonstration of safe working practices and installation in accordance with industry established safe and sound practices </w:t>
            </w:r>
          </w:p>
        </w:tc>
      </w:tr>
    </w:tbl>
    <w:p w:rsidR="00000000" w:rsidRPr="001A63B1" w:rsidP="001A63B1">
      <w:pPr>
        <w:pStyle w:val="BodyText"/>
      </w:pPr>
    </w:p>
    <w:p w:rsidR="00000000" w:rsidRPr="001A63B1" w:rsidP="001A63B1">
      <w:pPr>
        <w:pStyle w:val="AllowPageBreak"/>
      </w:pPr>
    </w:p>
    <w:p w:rsidR="00000000" w:rsidRPr="001A63B1" w:rsidP="001A63B1">
      <w:pPr>
        <w:pStyle w:val="Heading1"/>
      </w:pPr>
      <w:bookmarkStart w:id="8" w:name="O_968786"/>
      <w:bookmarkEnd w:id="8"/>
      <w:r w:rsidRPr="001A63B1">
        <w:t>Unit Mapping Information</w:t>
      </w:r>
    </w:p>
    <w:p w:rsidR="00000000" w:rsidRPr="001A63B1" w:rsidP="005F5048">
      <w:pPr>
        <w:pStyle w:val="BodyText"/>
      </w:pPr>
      <w:r w:rsidRPr="001A63B1">
        <w:t>Release 2. Equivalent. Minor adjustments to reflect ERAC requirements for electrician lic</w:t>
      </w:r>
      <w:r w:rsidRPr="001A63B1">
        <w:t>ensing and revision of Essential Performance Capabilities.</w:t>
      </w:r>
    </w:p>
    <w:p w:rsidR="00000000" w:rsidRPr="001A63B1" w:rsidP="001A63B1">
      <w:pPr>
        <w:pStyle w:val="Heading1"/>
      </w:pPr>
      <w:bookmarkStart w:id="9" w:name="O_968795"/>
      <w:bookmarkEnd w:id="9"/>
      <w:r w:rsidRPr="001A63B1">
        <w:t>Links</w:t>
      </w:r>
    </w:p>
    <w:p w:rsidR="00000000" w:rsidRPr="001A63B1" w:rsidP="005F5048">
      <w:pPr>
        <w:pStyle w:val="BodyText"/>
      </w:pPr>
      <w:r w:rsidRPr="001A63B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562D7">
        <w:rPr>
          <w:rStyle w:val="Hyperlink"/>
        </w:rPr>
        <w:t>https://vetnet.gov.au/Pages/TrainingDocs.aspx?q=b7050d37-5fd0-4740-8f7d-3b7a49c10bb2</w:t>
      </w:r>
      <w:r>
        <w:fldChar w:fldCharType="end"/>
      </w:r>
    </w:p>
    <w:p w:rsidR="00000000" w:rsidRPr="001A63B1" w:rsidP="001A63B1"/>
    <w:sectPr w:rsidSect="001A63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B1" w:rsidRPr="005F5048" w:rsidP="005F5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48" w:rsidP="001A6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048" w:rsidP="001A63B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5048" w:rsidP="001A6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3B1" w:rsidRPr="005F5048" w:rsidP="005F5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48" w:rsidRPr="002D2AF8" w:rsidP="001A63B1">
    <w:pPr>
      <w:pStyle w:val="Header"/>
      <w:framePr w:wrap="around"/>
    </w:pPr>
    <w:r>
      <w:fldChar w:fldCharType="begin"/>
    </w:r>
    <w:r>
      <w:instrText xml:space="preserve"> TITLE   \* MERGEFORMAT </w:instrText>
    </w:r>
    <w:r>
      <w:fldChar w:fldCharType="separate"/>
    </w:r>
    <w:r>
      <w:t>MEM18102 Fault-find, test and rectify single and three-phase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F5048" w:rsidP="001A6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2A5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8B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4D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3B1"/>
    <w:pPr>
      <w:spacing w:before="360" w:after="60"/>
      <w:outlineLvl w:val="0"/>
    </w:pPr>
    <w:rPr>
      <w:sz w:val="32"/>
    </w:rPr>
  </w:style>
  <w:style w:type="paragraph" w:styleId="Heading2">
    <w:name w:val="heading 2"/>
    <w:basedOn w:val="HeadingBase"/>
    <w:next w:val="BodyText"/>
    <w:link w:val="Heading2Char"/>
    <w:qFormat/>
    <w:rsid w:val="001A63B1"/>
    <w:pPr>
      <w:keepLines/>
      <w:spacing w:before="240" w:after="120"/>
      <w:outlineLvl w:val="1"/>
    </w:pPr>
    <w:rPr>
      <w:sz w:val="28"/>
      <w:szCs w:val="40"/>
    </w:rPr>
  </w:style>
  <w:style w:type="paragraph" w:styleId="Heading3">
    <w:name w:val="heading 3"/>
    <w:basedOn w:val="HeadingBase"/>
    <w:next w:val="BodyText"/>
    <w:link w:val="Heading3Char"/>
    <w:qFormat/>
    <w:rsid w:val="001A63B1"/>
    <w:pPr>
      <w:spacing w:before="180" w:after="120"/>
      <w:outlineLvl w:val="2"/>
    </w:pPr>
    <w:rPr>
      <w:spacing w:val="-10"/>
      <w:kern w:val="32"/>
    </w:rPr>
  </w:style>
  <w:style w:type="paragraph" w:styleId="Heading4">
    <w:name w:val="heading 4"/>
    <w:basedOn w:val="HeadingBase"/>
    <w:next w:val="BodyText"/>
    <w:link w:val="Heading4Char"/>
    <w:qFormat/>
    <w:rsid w:val="001A63B1"/>
    <w:pPr>
      <w:spacing w:before="160" w:after="120"/>
      <w:outlineLvl w:val="3"/>
    </w:pPr>
    <w:rPr>
      <w:sz w:val="22"/>
    </w:rPr>
  </w:style>
  <w:style w:type="paragraph" w:styleId="Heading5">
    <w:name w:val="heading 5"/>
    <w:basedOn w:val="HeadingBase"/>
    <w:next w:val="Normal"/>
    <w:link w:val="Heading5Char"/>
    <w:qFormat/>
    <w:rsid w:val="001A63B1"/>
    <w:pPr>
      <w:spacing w:before="80"/>
      <w:outlineLvl w:val="4"/>
    </w:pPr>
    <w:rPr>
      <w:color w:val="918585"/>
      <w:sz w:val="20"/>
    </w:rPr>
  </w:style>
  <w:style w:type="paragraph" w:styleId="Heading6">
    <w:name w:val="heading 6"/>
    <w:basedOn w:val="HeadingBase"/>
    <w:next w:val="Normal"/>
    <w:link w:val="Heading6Char"/>
    <w:qFormat/>
    <w:rsid w:val="001A63B1"/>
    <w:pPr>
      <w:spacing w:before="60"/>
      <w:outlineLvl w:val="5"/>
    </w:pPr>
    <w:rPr>
      <w:color w:val="918585"/>
      <w:sz w:val="20"/>
    </w:rPr>
  </w:style>
  <w:style w:type="paragraph" w:styleId="Heading7">
    <w:name w:val="heading 7"/>
    <w:basedOn w:val="Normal"/>
    <w:next w:val="Normal"/>
    <w:link w:val="Heading7Char"/>
    <w:qFormat/>
    <w:rsid w:val="001A63B1"/>
    <w:pPr>
      <w:ind w:left="720"/>
      <w:outlineLvl w:val="6"/>
    </w:pPr>
    <w:rPr>
      <w:i/>
    </w:rPr>
  </w:style>
  <w:style w:type="paragraph" w:styleId="Heading8">
    <w:name w:val="heading 8"/>
    <w:basedOn w:val="Normal"/>
    <w:next w:val="Normal"/>
    <w:link w:val="Heading8Char"/>
    <w:qFormat/>
    <w:rsid w:val="001A63B1"/>
    <w:pPr>
      <w:ind w:left="720"/>
      <w:outlineLvl w:val="7"/>
    </w:pPr>
    <w:rPr>
      <w:i/>
    </w:rPr>
  </w:style>
  <w:style w:type="paragraph" w:styleId="Heading9">
    <w:name w:val="heading 9"/>
    <w:basedOn w:val="Normal"/>
    <w:next w:val="Normal"/>
    <w:link w:val="Heading9Char"/>
    <w:qFormat/>
    <w:rsid w:val="001A63B1"/>
    <w:pPr>
      <w:ind w:left="720"/>
      <w:outlineLvl w:val="8"/>
    </w:pPr>
    <w:rPr>
      <w:i/>
    </w:rPr>
  </w:style>
  <w:style w:type="character" w:default="1" w:styleId="DefaultParagraphFont">
    <w:name w:val="Default Paragraph Font"/>
    <w:uiPriority w:val="1"/>
    <w:unhideWhenUsed/>
    <w:rsid w:val="001A6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3B1"/>
  </w:style>
  <w:style w:type="character" w:customStyle="1" w:styleId="Heading1Char">
    <w:name w:val="Heading 1 Char"/>
    <w:basedOn w:val="DefaultParagraphFont"/>
    <w:link w:val="Heading1"/>
    <w:rsid w:val="001A63B1"/>
    <w:rPr>
      <w:rFonts w:ascii="Times New Roman" w:eastAsia="Times New Roman" w:hAnsi="Times New Roman" w:cs="Times New Roman"/>
      <w:b/>
      <w:sz w:val="32"/>
      <w:szCs w:val="20"/>
      <w:lang w:eastAsia="en-US"/>
    </w:rPr>
  </w:style>
  <w:style w:type="paragraph" w:styleId="BodyText">
    <w:name w:val="Body Text"/>
    <w:basedOn w:val="Normal"/>
    <w:link w:val="BodyTextChar"/>
    <w:rsid w:val="001A6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3B1"/>
    <w:rPr>
      <w:rFonts w:ascii="Times New Roman" w:eastAsia="Times New Roman" w:hAnsi="Times New Roman" w:cs="Times New Roman"/>
      <w:sz w:val="24"/>
      <w:lang w:eastAsia="en-US"/>
    </w:rPr>
  </w:style>
  <w:style w:type="paragraph" w:styleId="ListBullet">
    <w:name w:val="List Bullet"/>
    <w:basedOn w:val="List"/>
    <w:rsid w:val="001A63B1"/>
    <w:pPr>
      <w:numPr>
        <w:numId w:val="12"/>
      </w:numPr>
      <w:tabs>
        <w:tab w:val="clear" w:pos="340"/>
      </w:tabs>
      <w:spacing w:before="40" w:after="40"/>
    </w:pPr>
  </w:style>
  <w:style w:type="character" w:customStyle="1" w:styleId="SpecialBold">
    <w:name w:val="Special Bold"/>
    <w:basedOn w:val="DefaultParagraphFont"/>
    <w:rsid w:val="001A63B1"/>
    <w:rPr>
      <w:b/>
      <w:spacing w:val="0"/>
    </w:rPr>
  </w:style>
  <w:style w:type="paragraph" w:styleId="ListBullet2">
    <w:name w:val="List Bullet 2"/>
    <w:basedOn w:val="List2"/>
    <w:rsid w:val="001A63B1"/>
    <w:pPr>
      <w:numPr>
        <w:numId w:val="13"/>
      </w:numPr>
      <w:tabs>
        <w:tab w:val="clear" w:pos="680"/>
      </w:tabs>
    </w:pPr>
  </w:style>
  <w:style w:type="paragraph" w:customStyle="1" w:styleId="SuperHeading">
    <w:name w:val="SuperHeading"/>
    <w:basedOn w:val="Normal"/>
    <w:rsid w:val="001A63B1"/>
    <w:pPr>
      <w:spacing w:before="240" w:after="120"/>
      <w:outlineLvl w:val="0"/>
    </w:pPr>
    <w:rPr>
      <w:rFonts w:ascii="Times New Roman" w:hAnsi="Times New Roman"/>
      <w:b/>
      <w:sz w:val="32"/>
    </w:rPr>
  </w:style>
  <w:style w:type="paragraph" w:customStyle="1" w:styleId="AllowPageBreak">
    <w:name w:val="AllowPageBreak"/>
    <w:rsid w:val="001A6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3B1"/>
    <w:rPr>
      <w:rFonts w:ascii="Courier New" w:eastAsia="Times New Roman" w:hAnsi="Courier New" w:cs="Times New Roman"/>
      <w:i/>
      <w:szCs w:val="20"/>
      <w:lang w:eastAsia="en-US"/>
    </w:rPr>
  </w:style>
  <w:style w:type="paragraph" w:customStyle="1" w:styleId="HeadingBase">
    <w:name w:val="Heading Base"/>
    <w:rsid w:val="001A6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3B1"/>
    <w:pPr>
      <w:tabs>
        <w:tab w:val="right" w:leader="dot" w:pos="9072"/>
      </w:tabs>
      <w:ind w:left="567"/>
    </w:pPr>
    <w:rPr>
      <w:szCs w:val="22"/>
    </w:rPr>
  </w:style>
  <w:style w:type="paragraph" w:customStyle="1" w:styleId="TOCBase">
    <w:name w:val="TOC Base"/>
    <w:rsid w:val="001A6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3B1"/>
    <w:pPr>
      <w:tabs>
        <w:tab w:val="right" w:leader="dot" w:pos="9072"/>
      </w:tabs>
      <w:spacing w:before="40" w:after="40"/>
      <w:ind w:left="284"/>
    </w:pPr>
    <w:rPr>
      <w:rFonts w:ascii="Times New Roman" w:hAnsi="Times New Roman"/>
    </w:rPr>
  </w:style>
  <w:style w:type="paragraph" w:styleId="TOC1">
    <w:name w:val="toc 1"/>
    <w:basedOn w:val="TOCBase"/>
    <w:next w:val="Normal"/>
    <w:rsid w:val="001A6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3B1"/>
    <w:rPr>
      <w:rFonts w:ascii="Times New Roman" w:eastAsia="Times New Roman" w:hAnsi="Times New Roman" w:cs="Times New Roman"/>
      <w:sz w:val="16"/>
      <w:lang w:eastAsia="en-US"/>
    </w:rPr>
  </w:style>
  <w:style w:type="paragraph" w:styleId="Title">
    <w:name w:val="Title"/>
    <w:basedOn w:val="HeadingBase"/>
    <w:link w:val="TitleChar"/>
    <w:qFormat/>
    <w:rsid w:val="001A63B1"/>
    <w:pPr>
      <w:spacing w:before="5040"/>
      <w:jc w:val="center"/>
    </w:pPr>
    <w:rPr>
      <w:sz w:val="48"/>
      <w:szCs w:val="72"/>
      <w:lang w:val="en-US"/>
    </w:rPr>
  </w:style>
  <w:style w:type="character" w:customStyle="1" w:styleId="TitleChar">
    <w:name w:val="Title Char"/>
    <w:basedOn w:val="DefaultParagraphFont"/>
    <w:link w:val="Title"/>
    <w:rsid w:val="001A6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3B1"/>
    <w:pPr>
      <w:tabs>
        <w:tab w:val="left" w:pos="3600"/>
        <w:tab w:val="left" w:pos="3958"/>
      </w:tabs>
    </w:pPr>
  </w:style>
  <w:style w:type="paragraph" w:styleId="List">
    <w:name w:val="List"/>
    <w:basedOn w:val="BodyText"/>
    <w:next w:val="BodyText"/>
    <w:rsid w:val="001A63B1"/>
    <w:pPr>
      <w:tabs>
        <w:tab w:val="left" w:pos="340"/>
      </w:tabs>
      <w:spacing w:before="60" w:after="60"/>
      <w:ind w:left="340" w:hanging="340"/>
    </w:pPr>
  </w:style>
  <w:style w:type="paragraph" w:customStyle="1" w:styleId="Note">
    <w:name w:val="Note"/>
    <w:basedOn w:val="BodyText"/>
    <w:rsid w:val="001A6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3B1"/>
    <w:pPr>
      <w:framePr w:wrap="auto" w:hAnchor="text" w:y="6049"/>
    </w:pPr>
    <w:rPr>
      <w:color w:val="000000"/>
      <w:sz w:val="40"/>
    </w:rPr>
  </w:style>
  <w:style w:type="paragraph" w:customStyle="1" w:styleId="TOCTitle">
    <w:name w:val="TOCTitle"/>
    <w:basedOn w:val="Heading1"/>
    <w:rsid w:val="001A63B1"/>
    <w:pPr>
      <w:spacing w:after="240"/>
      <w:jc w:val="center"/>
      <w:outlineLvl w:val="9"/>
    </w:pPr>
    <w:rPr>
      <w:caps/>
    </w:rPr>
  </w:style>
  <w:style w:type="paragraph" w:customStyle="1" w:styleId="Version">
    <w:name w:val="Version"/>
    <w:rsid w:val="001A6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3B1"/>
    <w:pPr>
      <w:keepNext w:val="0"/>
      <w:tabs>
        <w:tab w:val="right" w:pos="4176"/>
      </w:tabs>
      <w:ind w:left="198" w:hanging="198"/>
    </w:pPr>
    <w:rPr>
      <w:rFonts w:ascii="Garamond" w:hAnsi="Garamond"/>
    </w:rPr>
  </w:style>
  <w:style w:type="paragraph" w:styleId="IndexHeading">
    <w:name w:val="index heading"/>
    <w:basedOn w:val="Normal"/>
    <w:next w:val="Index1"/>
    <w:semiHidden/>
    <w:rsid w:val="001A63B1"/>
    <w:pPr>
      <w:spacing w:before="120" w:after="120"/>
    </w:pPr>
    <w:rPr>
      <w:rFonts w:ascii="Arial" w:hAnsi="Arial"/>
      <w:b/>
      <w:color w:val="918585"/>
      <w:sz w:val="24"/>
    </w:rPr>
  </w:style>
  <w:style w:type="paragraph" w:styleId="Header">
    <w:name w:val="header"/>
    <w:basedOn w:val="Normal"/>
    <w:link w:val="HeaderChar"/>
    <w:rsid w:val="001A6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3B1"/>
    <w:rPr>
      <w:rFonts w:ascii="Times New Roman" w:eastAsia="Times New Roman" w:hAnsi="Times New Roman" w:cs="Times New Roman"/>
      <w:sz w:val="16"/>
      <w:szCs w:val="20"/>
      <w:lang w:val="en-GB" w:eastAsia="en-US"/>
    </w:rPr>
  </w:style>
  <w:style w:type="paragraph" w:customStyle="1" w:styleId="Chapter">
    <w:name w:val="Chapter"/>
    <w:basedOn w:val="Normal"/>
    <w:rsid w:val="001A63B1"/>
    <w:pPr>
      <w:spacing w:before="240"/>
    </w:pPr>
    <w:rPr>
      <w:rFonts w:ascii="Times New Roman" w:hAnsi="Times New Roman"/>
      <w:smallCaps/>
      <w:spacing w:val="80"/>
      <w:sz w:val="28"/>
    </w:rPr>
  </w:style>
  <w:style w:type="paragraph" w:customStyle="1" w:styleId="InChapter">
    <w:name w:val="InChapter"/>
    <w:basedOn w:val="Heading3"/>
    <w:rsid w:val="001A63B1"/>
    <w:pPr>
      <w:spacing w:after="240"/>
      <w:outlineLvl w:val="9"/>
    </w:pPr>
    <w:rPr>
      <w:noProof/>
    </w:rPr>
  </w:style>
  <w:style w:type="paragraph" w:styleId="Index2">
    <w:name w:val="index 2"/>
    <w:basedOn w:val="Normal"/>
    <w:next w:val="Normal"/>
    <w:semiHidden/>
    <w:rsid w:val="001A63B1"/>
    <w:pPr>
      <w:tabs>
        <w:tab w:val="right" w:pos="4176"/>
      </w:tabs>
      <w:ind w:left="568" w:hanging="284"/>
    </w:pPr>
    <w:rPr>
      <w:rFonts w:ascii="Garamond" w:hAnsi="Garamond"/>
    </w:rPr>
  </w:style>
  <w:style w:type="paragraph" w:customStyle="1" w:styleId="Byline">
    <w:name w:val="Byline"/>
    <w:rsid w:val="001A6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3B1"/>
    <w:pPr>
      <w:tabs>
        <w:tab w:val="clear" w:pos="3600"/>
        <w:tab w:val="clear" w:pos="3958"/>
      </w:tabs>
      <w:jc w:val="right"/>
    </w:pPr>
  </w:style>
  <w:style w:type="character" w:styleId="Emphasis">
    <w:name w:val="Emphasis"/>
    <w:basedOn w:val="DefaultParagraphFont"/>
    <w:qFormat/>
    <w:rsid w:val="001A63B1"/>
    <w:rPr>
      <w:i/>
    </w:rPr>
  </w:style>
  <w:style w:type="paragraph" w:styleId="Caption">
    <w:name w:val="caption"/>
    <w:basedOn w:val="BodyText"/>
    <w:next w:val="Normal"/>
    <w:qFormat/>
    <w:rsid w:val="001A63B1"/>
    <w:pPr>
      <w:framePr w:w="2268" w:hSpace="181" w:vSpace="181" w:wrap="around" w:vAnchor="text" w:hAnchor="page" w:x="1135" w:y="285" w:anchorLock="1"/>
    </w:pPr>
    <w:rPr>
      <w:i/>
    </w:rPr>
  </w:style>
  <w:style w:type="paragraph" w:customStyle="1" w:styleId="MiniTOCTitle">
    <w:name w:val="MiniTOCTitle"/>
    <w:basedOn w:val="Heading4"/>
    <w:rsid w:val="001A63B1"/>
    <w:pPr>
      <w:spacing w:before="240"/>
      <w:outlineLvl w:val="9"/>
    </w:pPr>
    <w:rPr>
      <w:noProof/>
      <w:sz w:val="24"/>
    </w:rPr>
  </w:style>
  <w:style w:type="paragraph" w:customStyle="1" w:styleId="MiniTOCItem">
    <w:name w:val="MiniTOCItem"/>
    <w:basedOn w:val="ListBullet"/>
    <w:rsid w:val="001A63B1"/>
    <w:pPr>
      <w:numPr>
        <w:numId w:val="0"/>
      </w:numPr>
      <w:tabs>
        <w:tab w:val="right" w:leader="dot" w:pos="6521"/>
      </w:tabs>
      <w:spacing w:before="0" w:after="0"/>
    </w:pPr>
  </w:style>
  <w:style w:type="paragraph" w:customStyle="1" w:styleId="TOFTitle">
    <w:name w:val="TOFTitle"/>
    <w:basedOn w:val="TOCTitle"/>
    <w:rsid w:val="001A63B1"/>
  </w:style>
  <w:style w:type="paragraph" w:styleId="TableofFigures">
    <w:name w:val="table of figures"/>
    <w:basedOn w:val="Normal"/>
    <w:next w:val="Normal"/>
    <w:semiHidden/>
    <w:rsid w:val="001A63B1"/>
    <w:pPr>
      <w:tabs>
        <w:tab w:val="right" w:leader="dot" w:pos="9072"/>
      </w:tabs>
      <w:ind w:left="970" w:hanging="403"/>
    </w:pPr>
    <w:rPr>
      <w:rFonts w:ascii="Times New Roman" w:hAnsi="Times New Roman"/>
      <w:b/>
    </w:rPr>
  </w:style>
  <w:style w:type="paragraph" w:styleId="ListNumber">
    <w:name w:val="List Number"/>
    <w:basedOn w:val="List"/>
    <w:rsid w:val="001A63B1"/>
    <w:pPr>
      <w:numPr>
        <w:numId w:val="15"/>
      </w:numPr>
      <w:tabs>
        <w:tab w:val="clear" w:pos="340"/>
      </w:tabs>
    </w:pPr>
  </w:style>
  <w:style w:type="character" w:customStyle="1" w:styleId="WingdingSymbols">
    <w:name w:val="Wingding Symbols"/>
    <w:rsid w:val="001A63B1"/>
    <w:rPr>
      <w:rFonts w:ascii="Wingdings" w:hAnsi="Wingdings"/>
    </w:rPr>
  </w:style>
  <w:style w:type="paragraph" w:customStyle="1" w:styleId="TableHeading">
    <w:name w:val="Table Heading"/>
    <w:basedOn w:val="HeadingBase"/>
    <w:rsid w:val="001A63B1"/>
    <w:pPr>
      <w:keepLines/>
      <w:pBdr>
        <w:bottom w:val="single" w:sz="6" w:space="1" w:color="918585"/>
      </w:pBdr>
      <w:spacing w:before="240"/>
    </w:pPr>
  </w:style>
  <w:style w:type="character" w:customStyle="1" w:styleId="HotSpot">
    <w:name w:val="HotSpot"/>
    <w:rsid w:val="001A63B1"/>
    <w:rPr>
      <w:color w:val="0033CC"/>
      <w:u w:val="none"/>
    </w:rPr>
  </w:style>
  <w:style w:type="paragraph" w:customStyle="1" w:styleId="BodyTextRight">
    <w:name w:val="Body Text Right"/>
    <w:basedOn w:val="BodyText"/>
    <w:rsid w:val="001A63B1"/>
    <w:pPr>
      <w:spacing w:before="0" w:after="0"/>
      <w:jc w:val="right"/>
    </w:pPr>
  </w:style>
  <w:style w:type="paragraph" w:styleId="Index3">
    <w:name w:val="index 3"/>
    <w:basedOn w:val="ListNumber2"/>
    <w:next w:val="Normal"/>
    <w:semiHidden/>
    <w:rsid w:val="001A63B1"/>
    <w:pPr>
      <w:numPr>
        <w:numId w:val="0"/>
      </w:numPr>
      <w:tabs>
        <w:tab w:val="right" w:leader="dot" w:pos="4176"/>
      </w:tabs>
    </w:pPr>
  </w:style>
  <w:style w:type="paragraph" w:styleId="ListNumber2">
    <w:name w:val="List Number 2"/>
    <w:basedOn w:val="List2"/>
    <w:rsid w:val="001A63B1"/>
    <w:pPr>
      <w:numPr>
        <w:numId w:val="10"/>
      </w:numPr>
      <w:tabs>
        <w:tab w:val="clear" w:pos="1060"/>
      </w:tabs>
    </w:pPr>
  </w:style>
  <w:style w:type="paragraph" w:customStyle="1" w:styleId="MarginNote">
    <w:name w:val="Margin Note"/>
    <w:basedOn w:val="BodyText"/>
    <w:rsid w:val="001A6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3B1"/>
    <w:rPr>
      <w:sz w:val="32"/>
    </w:rPr>
  </w:style>
  <w:style w:type="paragraph" w:customStyle="1" w:styleId="HeadingProcedure">
    <w:name w:val="Heading Procedure"/>
    <w:basedOn w:val="HeadingBase"/>
    <w:next w:val="Normal"/>
    <w:rsid w:val="001A63B1"/>
    <w:pPr>
      <w:tabs>
        <w:tab w:val="left" w:pos="0"/>
      </w:tabs>
      <w:spacing w:before="120" w:after="60"/>
    </w:pPr>
    <w:rPr>
      <w:i/>
      <w:color w:val="918585"/>
      <w:sz w:val="22"/>
    </w:rPr>
  </w:style>
  <w:style w:type="paragraph" w:customStyle="1" w:styleId="TableBodyText">
    <w:name w:val="Table Body Text"/>
    <w:basedOn w:val="BodyText"/>
    <w:rsid w:val="001A63B1"/>
    <w:pPr>
      <w:spacing w:before="60" w:after="60"/>
    </w:pPr>
  </w:style>
  <w:style w:type="paragraph" w:styleId="ListContinue">
    <w:name w:val="List Continue"/>
    <w:basedOn w:val="List"/>
    <w:rsid w:val="001A63B1"/>
    <w:pPr>
      <w:ind w:firstLine="0"/>
    </w:pPr>
  </w:style>
  <w:style w:type="paragraph" w:customStyle="1" w:styleId="ListNote">
    <w:name w:val="List Note"/>
    <w:basedOn w:val="List"/>
    <w:rsid w:val="001A63B1"/>
    <w:pPr>
      <w:pBdr>
        <w:top w:val="single" w:sz="6" w:space="2" w:color="918585"/>
        <w:bottom w:val="single" w:sz="6" w:space="2" w:color="918585"/>
      </w:pBdr>
      <w:tabs>
        <w:tab w:val="left" w:pos="1021"/>
      </w:tabs>
      <w:ind w:firstLine="0"/>
    </w:pPr>
  </w:style>
  <w:style w:type="paragraph" w:customStyle="1" w:styleId="Warning">
    <w:name w:val="Warning"/>
    <w:basedOn w:val="BodyText"/>
    <w:rsid w:val="001A63B1"/>
    <w:pPr>
      <w:shd w:val="clear" w:color="auto" w:fill="D9D9D9"/>
      <w:tabs>
        <w:tab w:val="left" w:pos="992"/>
      </w:tabs>
      <w:ind w:left="119" w:right="119"/>
    </w:pPr>
    <w:rPr>
      <w:sz w:val="20"/>
    </w:rPr>
  </w:style>
  <w:style w:type="paragraph" w:customStyle="1" w:styleId="MarginIcons">
    <w:name w:val="Margin Icons"/>
    <w:basedOn w:val="BodyText"/>
    <w:rsid w:val="001A6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3B1"/>
    <w:rPr>
      <w:rFonts w:ascii="Courier New" w:hAnsi="Courier New"/>
    </w:rPr>
  </w:style>
  <w:style w:type="paragraph" w:customStyle="1" w:styleId="NoteBullet">
    <w:name w:val="Note Bullet"/>
    <w:basedOn w:val="Note"/>
    <w:rsid w:val="001A63B1"/>
    <w:pPr>
      <w:tabs>
        <w:tab w:val="clear" w:pos="680"/>
      </w:tabs>
      <w:spacing w:before="60" w:after="60"/>
    </w:pPr>
  </w:style>
  <w:style w:type="paragraph" w:customStyle="1" w:styleId="SubHeading2">
    <w:name w:val="SubHeading2"/>
    <w:basedOn w:val="HeadingBase"/>
    <w:rsid w:val="001A63B1"/>
    <w:pPr>
      <w:spacing w:before="240" w:after="60"/>
    </w:pPr>
    <w:rPr>
      <w:sz w:val="20"/>
    </w:rPr>
  </w:style>
  <w:style w:type="paragraph" w:customStyle="1" w:styleId="SubHeading1">
    <w:name w:val="SubHeading1"/>
    <w:basedOn w:val="HeadingBase"/>
    <w:rsid w:val="001A63B1"/>
    <w:pPr>
      <w:spacing w:before="240" w:after="60"/>
    </w:pPr>
    <w:rPr>
      <w:color w:val="918585"/>
      <w:sz w:val="22"/>
    </w:rPr>
  </w:style>
  <w:style w:type="paragraph" w:customStyle="1" w:styleId="SideHeading">
    <w:name w:val="Side Heading"/>
    <w:basedOn w:val="HeadingBase"/>
    <w:rsid w:val="001A6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3B1"/>
    <w:pPr>
      <w:tabs>
        <w:tab w:val="num" w:pos="360"/>
      </w:tabs>
    </w:pPr>
  </w:style>
  <w:style w:type="paragraph" w:styleId="PlainText">
    <w:name w:val="Plain Text"/>
    <w:basedOn w:val="Normal"/>
    <w:link w:val="PlainTextChar"/>
    <w:rsid w:val="001A63B1"/>
    <w:rPr>
      <w:sz w:val="20"/>
    </w:rPr>
  </w:style>
  <w:style w:type="character" w:customStyle="1" w:styleId="PlainTextChar">
    <w:name w:val="Plain Text Char"/>
    <w:basedOn w:val="DefaultParagraphFont"/>
    <w:link w:val="PlainText"/>
    <w:rsid w:val="001A63B1"/>
    <w:rPr>
      <w:rFonts w:ascii="Courier New" w:eastAsia="Times New Roman" w:hAnsi="Courier New" w:cs="Times New Roman"/>
      <w:sz w:val="20"/>
      <w:szCs w:val="20"/>
      <w:lang w:eastAsia="en-US"/>
    </w:rPr>
  </w:style>
  <w:style w:type="character" w:customStyle="1" w:styleId="MenuOption">
    <w:name w:val="Menu Option"/>
    <w:basedOn w:val="DefaultParagraphFont"/>
    <w:rsid w:val="001A63B1"/>
    <w:rPr>
      <w:b/>
      <w:smallCaps/>
    </w:rPr>
  </w:style>
  <w:style w:type="paragraph" w:customStyle="1" w:styleId="TableListNumber">
    <w:name w:val="Table List Number"/>
    <w:basedOn w:val="ListNumber"/>
    <w:rsid w:val="001A63B1"/>
    <w:pPr>
      <w:numPr>
        <w:numId w:val="0"/>
      </w:numPr>
    </w:pPr>
  </w:style>
  <w:style w:type="paragraph" w:styleId="TOC4">
    <w:name w:val="toc 4"/>
    <w:basedOn w:val="TOCBase"/>
    <w:next w:val="Normal"/>
    <w:semiHidden/>
    <w:rsid w:val="001A63B1"/>
    <w:pPr>
      <w:tabs>
        <w:tab w:val="right" w:leader="dot" w:pos="9071"/>
      </w:tabs>
      <w:ind w:left="1701"/>
    </w:pPr>
  </w:style>
  <w:style w:type="paragraph" w:customStyle="1" w:styleId="ListAlpha">
    <w:name w:val="List Alpha"/>
    <w:basedOn w:val="List"/>
    <w:rsid w:val="001A63B1"/>
    <w:pPr>
      <w:numPr>
        <w:numId w:val="9"/>
      </w:numPr>
    </w:pPr>
  </w:style>
  <w:style w:type="paragraph" w:customStyle="1" w:styleId="ListAlpha2">
    <w:name w:val="List Alpha 2"/>
    <w:basedOn w:val="List2"/>
    <w:rsid w:val="001A63B1"/>
    <w:pPr>
      <w:numPr>
        <w:numId w:val="8"/>
      </w:numPr>
    </w:pPr>
  </w:style>
  <w:style w:type="paragraph" w:styleId="List2">
    <w:name w:val="List 2"/>
    <w:basedOn w:val="BodyText"/>
    <w:rsid w:val="001A63B1"/>
    <w:pPr>
      <w:tabs>
        <w:tab w:val="left" w:pos="680"/>
      </w:tabs>
      <w:spacing w:before="60" w:after="60"/>
      <w:ind w:left="680" w:hanging="340"/>
    </w:pPr>
  </w:style>
  <w:style w:type="paragraph" w:styleId="List3">
    <w:name w:val="List 3"/>
    <w:basedOn w:val="BodyText"/>
    <w:rsid w:val="001A63B1"/>
    <w:pPr>
      <w:tabs>
        <w:tab w:val="left" w:pos="1021"/>
      </w:tabs>
      <w:spacing w:before="60" w:after="60"/>
      <w:ind w:left="1020" w:hanging="340"/>
    </w:pPr>
  </w:style>
  <w:style w:type="paragraph" w:styleId="List4">
    <w:name w:val="List 4"/>
    <w:basedOn w:val="BodyText"/>
    <w:rsid w:val="001A63B1"/>
    <w:pPr>
      <w:tabs>
        <w:tab w:val="left" w:pos="1361"/>
      </w:tabs>
      <w:spacing w:before="60" w:after="60"/>
      <w:ind w:left="1361" w:hanging="340"/>
    </w:pPr>
  </w:style>
  <w:style w:type="paragraph" w:styleId="List5">
    <w:name w:val="List 5"/>
    <w:basedOn w:val="BodyText"/>
    <w:rsid w:val="001A63B1"/>
    <w:pPr>
      <w:tabs>
        <w:tab w:val="left" w:pos="1701"/>
      </w:tabs>
      <w:spacing w:before="60" w:after="60"/>
      <w:ind w:left="1701" w:hanging="340"/>
    </w:pPr>
  </w:style>
  <w:style w:type="paragraph" w:styleId="ListBullet3">
    <w:name w:val="List Bullet 3"/>
    <w:basedOn w:val="List3"/>
    <w:rsid w:val="001A63B1"/>
    <w:pPr>
      <w:numPr>
        <w:numId w:val="14"/>
      </w:numPr>
      <w:tabs>
        <w:tab w:val="clear" w:pos="1021"/>
      </w:tabs>
      <w:ind w:left="1037" w:hanging="357"/>
    </w:pPr>
  </w:style>
  <w:style w:type="paragraph" w:styleId="ListBullet4">
    <w:name w:val="List Bullet 4"/>
    <w:basedOn w:val="List4"/>
    <w:rsid w:val="001A63B1"/>
    <w:pPr>
      <w:numPr>
        <w:numId w:val="3"/>
      </w:numPr>
      <w:tabs>
        <w:tab w:val="clear" w:pos="1361"/>
      </w:tabs>
    </w:pPr>
  </w:style>
  <w:style w:type="paragraph" w:styleId="ListBullet5">
    <w:name w:val="List Bullet 5"/>
    <w:basedOn w:val="List5"/>
    <w:rsid w:val="001A63B1"/>
    <w:pPr>
      <w:numPr>
        <w:numId w:val="4"/>
      </w:numPr>
    </w:pPr>
  </w:style>
  <w:style w:type="paragraph" w:styleId="ListContinue2">
    <w:name w:val="List Continue 2"/>
    <w:basedOn w:val="List2"/>
    <w:rsid w:val="001A63B1"/>
    <w:pPr>
      <w:ind w:firstLine="0"/>
    </w:pPr>
  </w:style>
  <w:style w:type="paragraph" w:styleId="ListContinue3">
    <w:name w:val="List Continue 3"/>
    <w:basedOn w:val="List3"/>
    <w:rsid w:val="001A63B1"/>
    <w:pPr>
      <w:ind w:left="1021" w:firstLine="0"/>
    </w:pPr>
  </w:style>
  <w:style w:type="paragraph" w:styleId="ListContinue4">
    <w:name w:val="List Continue 4"/>
    <w:basedOn w:val="List4"/>
    <w:rsid w:val="001A63B1"/>
    <w:pPr>
      <w:ind w:firstLine="0"/>
    </w:pPr>
  </w:style>
  <w:style w:type="paragraph" w:styleId="ListContinue5">
    <w:name w:val="List Continue 5"/>
    <w:basedOn w:val="List5"/>
    <w:rsid w:val="001A63B1"/>
    <w:pPr>
      <w:ind w:firstLine="0"/>
    </w:pPr>
  </w:style>
  <w:style w:type="paragraph" w:styleId="ListNumber3">
    <w:name w:val="List Number 3"/>
    <w:basedOn w:val="List3"/>
    <w:rsid w:val="001A63B1"/>
    <w:pPr>
      <w:numPr>
        <w:numId w:val="5"/>
      </w:numPr>
    </w:pPr>
  </w:style>
  <w:style w:type="paragraph" w:styleId="ListNumber4">
    <w:name w:val="List Number 4"/>
    <w:basedOn w:val="List4"/>
    <w:rsid w:val="001A63B1"/>
    <w:pPr>
      <w:numPr>
        <w:numId w:val="6"/>
      </w:numPr>
    </w:pPr>
  </w:style>
  <w:style w:type="paragraph" w:styleId="ListNumber5">
    <w:name w:val="List Number 5"/>
    <w:basedOn w:val="List5"/>
    <w:rsid w:val="001A63B1"/>
    <w:pPr>
      <w:numPr>
        <w:numId w:val="7"/>
      </w:numPr>
    </w:pPr>
  </w:style>
  <w:style w:type="paragraph" w:styleId="BlockText">
    <w:name w:val="Block Text"/>
    <w:basedOn w:val="Normal"/>
    <w:rsid w:val="001A63B1"/>
    <w:pPr>
      <w:spacing w:after="120"/>
      <w:ind w:left="1440" w:right="1440"/>
    </w:pPr>
  </w:style>
  <w:style w:type="character" w:customStyle="1" w:styleId="Subscript">
    <w:name w:val="Subscript"/>
    <w:basedOn w:val="DefaultParagraphFont"/>
    <w:rsid w:val="001A63B1"/>
    <w:rPr>
      <w:sz w:val="16"/>
      <w:vertAlign w:val="subscript"/>
    </w:rPr>
  </w:style>
  <w:style w:type="character" w:customStyle="1" w:styleId="Superscript">
    <w:name w:val="Superscript"/>
    <w:basedOn w:val="DefaultParagraphFont"/>
    <w:rsid w:val="001A63B1"/>
    <w:rPr>
      <w:sz w:val="16"/>
      <w:vertAlign w:val="superscript"/>
    </w:rPr>
  </w:style>
  <w:style w:type="character" w:customStyle="1" w:styleId="Symbols">
    <w:name w:val="Symbols"/>
    <w:basedOn w:val="DefaultParagraphFont"/>
    <w:rsid w:val="001A63B1"/>
    <w:rPr>
      <w:rFonts w:ascii="Symbol" w:hAnsi="Symbol"/>
    </w:rPr>
  </w:style>
  <w:style w:type="character" w:customStyle="1" w:styleId="MenuOptions">
    <w:name w:val="Menu Options"/>
    <w:basedOn w:val="DefaultParagraphFont"/>
    <w:rsid w:val="001A63B1"/>
    <w:rPr>
      <w:rFonts w:ascii="Arial Narrow" w:hAnsi="Arial Narrow"/>
      <w:smallCaps/>
    </w:rPr>
  </w:style>
  <w:style w:type="character" w:customStyle="1" w:styleId="Buttons">
    <w:name w:val="Buttons"/>
    <w:basedOn w:val="DefaultParagraphFont"/>
    <w:rsid w:val="001A63B1"/>
    <w:rPr>
      <w:b/>
    </w:rPr>
  </w:style>
  <w:style w:type="character" w:customStyle="1" w:styleId="Underlined">
    <w:name w:val="Underlined"/>
    <w:basedOn w:val="DefaultParagraphFont"/>
    <w:rsid w:val="001A63B1"/>
    <w:rPr>
      <w:u w:val="single"/>
    </w:rPr>
  </w:style>
  <w:style w:type="paragraph" w:customStyle="1" w:styleId="TableBodyTextRight">
    <w:name w:val="Table Body Text Right"/>
    <w:basedOn w:val="TableBodyText"/>
    <w:rsid w:val="001A63B1"/>
    <w:pPr>
      <w:widowControl w:val="0"/>
      <w:autoSpaceDE w:val="0"/>
      <w:autoSpaceDN w:val="0"/>
      <w:adjustRightInd w:val="0"/>
      <w:jc w:val="right"/>
    </w:pPr>
    <w:rPr>
      <w:rFonts w:cs="Arial"/>
      <w:szCs w:val="18"/>
    </w:rPr>
  </w:style>
  <w:style w:type="paragraph" w:customStyle="1" w:styleId="CopyrightText">
    <w:name w:val="Copyright Text"/>
    <w:basedOn w:val="BodyText"/>
    <w:rsid w:val="001A63B1"/>
    <w:rPr>
      <w:sz w:val="18"/>
    </w:rPr>
  </w:style>
  <w:style w:type="paragraph" w:customStyle="1" w:styleId="BodySmallRight">
    <w:name w:val="Body Small Right"/>
    <w:basedOn w:val="BodyTextRight"/>
    <w:rsid w:val="001A63B1"/>
    <w:rPr>
      <w:sz w:val="18"/>
      <w:szCs w:val="18"/>
    </w:rPr>
  </w:style>
  <w:style w:type="paragraph" w:customStyle="1" w:styleId="MarginEdition">
    <w:name w:val="Margin Edition"/>
    <w:basedOn w:val="MarginNote"/>
    <w:rsid w:val="001A63B1"/>
    <w:pPr>
      <w:spacing w:before="0" w:after="0"/>
    </w:pPr>
    <w:rPr>
      <w:rFonts w:ascii="Times New Roman" w:hAnsi="Times New Roman"/>
      <w:color w:val="999999"/>
    </w:rPr>
  </w:style>
  <w:style w:type="paragraph" w:customStyle="1" w:styleId="Spacer">
    <w:name w:val="Spacer"/>
    <w:basedOn w:val="Normal"/>
    <w:rsid w:val="001A63B1"/>
    <w:rPr>
      <w:sz w:val="2"/>
      <w:szCs w:val="2"/>
    </w:rPr>
  </w:style>
  <w:style w:type="character" w:customStyle="1" w:styleId="Small">
    <w:name w:val="Small"/>
    <w:basedOn w:val="DefaultParagraphFont"/>
    <w:rsid w:val="001A63B1"/>
    <w:rPr>
      <w:sz w:val="16"/>
    </w:rPr>
  </w:style>
  <w:style w:type="paragraph" w:customStyle="1" w:styleId="WideTable">
    <w:name w:val="Wide Table"/>
    <w:basedOn w:val="Normal"/>
    <w:rsid w:val="001A63B1"/>
    <w:pPr>
      <w:ind w:left="-1418"/>
    </w:pPr>
    <w:rPr>
      <w:sz w:val="2"/>
      <w:szCs w:val="2"/>
    </w:rPr>
  </w:style>
  <w:style w:type="character" w:styleId="PageNumber">
    <w:name w:val="page number"/>
    <w:basedOn w:val="DefaultParagraphFont"/>
    <w:rsid w:val="001A63B1"/>
  </w:style>
  <w:style w:type="paragraph" w:styleId="Quote">
    <w:name w:val="Quote"/>
    <w:basedOn w:val="Heading1"/>
    <w:link w:val="QuoteChar"/>
    <w:qFormat/>
    <w:rsid w:val="001A63B1"/>
    <w:rPr>
      <w:b w:val="0"/>
      <w:sz w:val="72"/>
      <w:szCs w:val="72"/>
      <w:lang w:val="en-NZ"/>
    </w:rPr>
  </w:style>
  <w:style w:type="character" w:customStyle="1" w:styleId="QuoteChar">
    <w:name w:val="Quote Char"/>
    <w:basedOn w:val="DefaultParagraphFont"/>
    <w:link w:val="Quote"/>
    <w:rsid w:val="001A6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3B1"/>
    <w:pPr>
      <w:pageBreakBefore/>
    </w:pPr>
  </w:style>
  <w:style w:type="paragraph" w:customStyle="1" w:styleId="Border">
    <w:name w:val="Border"/>
    <w:basedOn w:val="Normal"/>
    <w:qFormat/>
    <w:rsid w:val="001A6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3B1"/>
    <w:rPr>
      <w:b/>
      <w:bCs/>
      <w:i/>
      <w:iCs/>
      <w:color w:val="auto"/>
    </w:rPr>
  </w:style>
  <w:style w:type="paragraph" w:styleId="IntenseQuote">
    <w:name w:val="Intense Quote"/>
    <w:basedOn w:val="Normal"/>
    <w:next w:val="Normal"/>
    <w:link w:val="IntenseQuoteChar"/>
    <w:uiPriority w:val="30"/>
    <w:qFormat/>
    <w:rsid w:val="001A6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3B1"/>
    <w:rPr>
      <w:smallCaps/>
      <w:color w:val="auto"/>
      <w:u w:val="single"/>
    </w:rPr>
  </w:style>
  <w:style w:type="character" w:styleId="IntenseReference">
    <w:name w:val="Intense Reference"/>
    <w:basedOn w:val="DefaultParagraphFont"/>
    <w:uiPriority w:val="32"/>
    <w:qFormat/>
    <w:rsid w:val="001A63B1"/>
    <w:rPr>
      <w:b/>
      <w:bCs/>
      <w:smallCaps/>
      <w:color w:val="auto"/>
      <w:spacing w:val="5"/>
      <w:u w:val="single"/>
    </w:rPr>
  </w:style>
  <w:style w:type="paragraph" w:customStyle="1" w:styleId="2ColumnHeading">
    <w:name w:val="2Column Heading"/>
    <w:basedOn w:val="BodyText"/>
    <w:qFormat/>
    <w:rsid w:val="001A63B1"/>
    <w:pPr>
      <w:spacing w:after="60"/>
      <w:ind w:left="-2268"/>
    </w:pPr>
    <w:rPr>
      <w:b/>
    </w:rPr>
  </w:style>
  <w:style w:type="paragraph" w:customStyle="1" w:styleId="Heading1TOC">
    <w:name w:val="Heading1 TOC"/>
    <w:basedOn w:val="Normal"/>
    <w:qFormat/>
    <w:rsid w:val="001A63B1"/>
    <w:pPr>
      <w:spacing w:before="240" w:after="120"/>
    </w:pPr>
    <w:rPr>
      <w:rFonts w:ascii="Times New Roman" w:hAnsi="Times New Roman"/>
      <w:b/>
      <w:sz w:val="32"/>
    </w:rPr>
  </w:style>
  <w:style w:type="paragraph" w:customStyle="1" w:styleId="Heading2TOC">
    <w:name w:val="Heading2 TOC"/>
    <w:basedOn w:val="Normal"/>
    <w:qFormat/>
    <w:rsid w:val="001A63B1"/>
    <w:pPr>
      <w:spacing w:before="240" w:after="60"/>
    </w:pPr>
    <w:rPr>
      <w:rFonts w:ascii="Times New Roman" w:hAnsi="Times New Roman"/>
      <w:b/>
      <w:sz w:val="28"/>
    </w:rPr>
  </w:style>
  <w:style w:type="character" w:customStyle="1" w:styleId="Underline">
    <w:name w:val="Underline"/>
    <w:basedOn w:val="DefaultParagraphFont"/>
    <w:qFormat/>
    <w:rsid w:val="001A63B1"/>
    <w:rPr>
      <w:u w:val="single"/>
    </w:rPr>
  </w:style>
  <w:style w:type="character" w:customStyle="1" w:styleId="BoldandItalics">
    <w:name w:val="Bold and Italics"/>
    <w:qFormat/>
    <w:rsid w:val="001A63B1"/>
    <w:rPr>
      <w:b/>
      <w:i/>
      <w:u w:val="none"/>
    </w:rPr>
  </w:style>
  <w:style w:type="paragraph" w:styleId="BalloonText">
    <w:name w:val="Balloon Text"/>
    <w:basedOn w:val="Normal"/>
    <w:link w:val="BalloonTextChar"/>
    <w:rsid w:val="001A63B1"/>
    <w:rPr>
      <w:rFonts w:ascii="Tahoma" w:hAnsi="Tahoma" w:cs="Tahoma"/>
      <w:sz w:val="16"/>
      <w:szCs w:val="16"/>
    </w:rPr>
  </w:style>
  <w:style w:type="character" w:customStyle="1" w:styleId="BalloonTextChar">
    <w:name w:val="Balloon Text Char"/>
    <w:basedOn w:val="DefaultParagraphFont"/>
    <w:link w:val="BalloonText"/>
    <w:rsid w:val="001A6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3B1"/>
    <w:rPr>
      <w:b/>
      <w:color w:val="660033"/>
      <w:spacing w:val="0"/>
    </w:rPr>
  </w:style>
  <w:style w:type="paragraph" w:customStyle="1" w:styleId="Nameditemlist">
    <w:name w:val="Named item list"/>
    <w:basedOn w:val="BodyText"/>
    <w:qFormat/>
    <w:rsid w:val="001A63B1"/>
    <w:pPr>
      <w:tabs>
        <w:tab w:val="left" w:pos="2835"/>
      </w:tabs>
      <w:ind w:left="2835" w:hanging="2835"/>
    </w:pPr>
  </w:style>
  <w:style w:type="paragraph" w:customStyle="1" w:styleId="BodyTextnopadding">
    <w:name w:val="Body Text no padding"/>
    <w:basedOn w:val="BodyText"/>
    <w:qFormat/>
    <w:rsid w:val="001A63B1"/>
    <w:pPr>
      <w:spacing w:before="0" w:after="0"/>
    </w:pPr>
  </w:style>
  <w:style w:type="paragraph" w:customStyle="1" w:styleId="BodyTextBold">
    <w:name w:val="Body Text Bold"/>
    <w:basedOn w:val="BodyText"/>
    <w:qFormat/>
    <w:rsid w:val="001A63B1"/>
    <w:rPr>
      <w:b/>
    </w:rPr>
  </w:style>
  <w:style w:type="character" w:styleId="Hyperlink">
    <w:name w:val="Hyperlink"/>
    <w:basedOn w:val="DefaultParagraphFont"/>
    <w:uiPriority w:val="99"/>
    <w:unhideWhenUsed/>
    <w:rsid w:val="005F5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4765</Characters>
  <Application>Microsoft Office Word</Application>
  <DocSecurity>0</DocSecurity>
  <Lines>190</Lines>
  <Paragraphs>107</Paragraphs>
  <ScaleCrop>false</ScaleCrop>
  <Company>Author-it Software Corporation Ltd.</Company>
  <LinksUpToDate>false</LinksUpToDate>
  <CharactersWithSpaces>5377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MEM18102 Fault-find, test and rectify single and three-phase transformers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