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BF8" w:rsidP="00A42BF8">
      <w:pPr>
        <w:pStyle w:val="Title"/>
      </w:pPr>
      <w:r>
        <w:fldChar w:fldCharType="begin"/>
      </w:r>
      <w:r>
        <w:instrText xml:space="preserve"> TITLE   \* MERGEFORMAT </w:instrText>
      </w:r>
      <w:r>
        <w:fldChar w:fldCharType="separate"/>
      </w:r>
      <w:r>
        <w:t>MEM18098 Prepare to perform work associated with fuel system installation and servicing</w:t>
      </w:r>
      <w:r>
        <w:fldChar w:fldCharType="end"/>
      </w:r>
    </w:p>
    <w:p w:rsidR="00A42BF8" w:rsidP="00A42BF8">
      <w:pPr>
        <w:pStyle w:val="Version"/>
        <w:sectPr w:rsidSect="001D0B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0B49" w:rsidP="001D0B49">
      <w:pPr>
        <w:pStyle w:val="SuperHeading"/>
      </w:pPr>
      <w:r w:rsidRPr="001D0B49">
        <w:t>MEM18098 Prepare to perform work associated with fuel system installation and servicing</w:t>
      </w:r>
    </w:p>
    <w:p w:rsidR="00000000" w:rsidRPr="001D0B49" w:rsidP="001D0B49">
      <w:pPr>
        <w:pStyle w:val="Heading1"/>
      </w:pPr>
      <w:bookmarkStart w:id="1" w:name="O_941902"/>
      <w:bookmarkEnd w:id="1"/>
      <w:r w:rsidRPr="001D0B49">
        <w:t>Modification History</w:t>
      </w:r>
    </w:p>
    <w:p w:rsidR="00000000" w:rsidRPr="001D0B49" w:rsidP="00A42BF8">
      <w:pPr>
        <w:pStyle w:val="BodyText"/>
      </w:pPr>
      <w:r w:rsidRPr="001D0B49">
        <w:t>Relea</w:t>
      </w:r>
      <w:r w:rsidRPr="001D0B49">
        <w:t xml:space="preserve">se 1. Supersedes and is equivalent to MEM18098A Prepare to perform work associated with fuel system installation and servicing </w:t>
      </w:r>
    </w:p>
    <w:p w:rsidR="00000000" w:rsidRPr="001D0B49" w:rsidP="001D0B49">
      <w:pPr>
        <w:pStyle w:val="Heading1"/>
      </w:pPr>
      <w:bookmarkStart w:id="2" w:name="O_941910"/>
      <w:bookmarkEnd w:id="2"/>
      <w:r w:rsidRPr="001D0B49">
        <w:t>Application</w:t>
      </w:r>
    </w:p>
    <w:p w:rsidR="00000000" w:rsidRPr="001D0B49" w:rsidP="00A42BF8">
      <w:pPr>
        <w:pStyle w:val="BodyText"/>
      </w:pPr>
      <w:r w:rsidRPr="001D0B49">
        <w:t>This unit of competency defines the skills and knowledge required to prepare for work associated wi</w:t>
      </w:r>
      <w:r w:rsidRPr="001D0B49">
        <w:t>th fuel system installation and servicing.</w:t>
      </w:r>
    </w:p>
    <w:p w:rsidR="00000000" w:rsidRPr="001D0B49" w:rsidP="00A42BF8">
      <w:pPr>
        <w:pStyle w:val="BodyText"/>
      </w:pPr>
      <w:r w:rsidRPr="001D0B49">
        <w:t>It applies to personnel who install or service fuel systems and equipment. They will typically undertake this in a service station forecourt which may be operational or be shut down for refurbishment or under con</w:t>
      </w:r>
      <w:r w:rsidRPr="001D0B49">
        <w:t>struction.</w:t>
      </w:r>
    </w:p>
    <w:p w:rsidR="00000000" w:rsidRPr="001D0B49" w:rsidP="00A42BF8">
      <w:pPr>
        <w:pStyle w:val="BodyText"/>
      </w:pPr>
      <w:r w:rsidRPr="001D0B49">
        <w:t>Where the selection and use of engineering measurement is required unit MEM12023 Perform engineering measurements should also be selected.</w:t>
      </w:r>
    </w:p>
    <w:p w:rsidR="00000000" w:rsidRPr="001D0B49" w:rsidP="00A42BF8">
      <w:pPr>
        <w:pStyle w:val="BodyText"/>
      </w:pPr>
      <w:r w:rsidRPr="001D0B49">
        <w:t>No licensing, legislative or certification requirements apply to this unit at the time of publication.</w:t>
      </w:r>
    </w:p>
    <w:p w:rsidR="00000000" w:rsidRPr="001D0B49" w:rsidP="001D0B49">
      <w:pPr>
        <w:pStyle w:val="BodyText"/>
      </w:pPr>
      <w:r w:rsidRPr="001D0B49">
        <w:rPr>
          <w:rStyle w:val="SpecialBold"/>
        </w:rPr>
        <w:t>Band:</w:t>
      </w:r>
      <w:r w:rsidRPr="001D0B49">
        <w:rPr>
          <w:rStyle w:val="SpecialBold"/>
        </w:rPr>
        <w:tab/>
        <w:t>A</w:t>
      </w:r>
    </w:p>
    <w:p w:rsidR="00000000" w:rsidRPr="001D0B49" w:rsidP="001D0B49">
      <w:pPr>
        <w:pStyle w:val="BodyText"/>
      </w:pPr>
      <w:r w:rsidRPr="001D0B49">
        <w:rPr>
          <w:rStyle w:val="SpecialBold"/>
        </w:rPr>
        <w:t>Unit weight:</w:t>
      </w:r>
      <w:r w:rsidRPr="001D0B49">
        <w:rPr>
          <w:rStyle w:val="SpecialBold"/>
        </w:rPr>
        <w:tab/>
        <w:t>2</w:t>
      </w:r>
    </w:p>
    <w:p w:rsidR="00000000" w:rsidRPr="001D0B49" w:rsidP="001D0B49">
      <w:pPr>
        <w:pStyle w:val="AllowPageBreak"/>
      </w:pPr>
    </w:p>
    <w:p w:rsidR="00000000" w:rsidRPr="001D0B49" w:rsidP="001D0B49">
      <w:pPr>
        <w:pStyle w:val="Heading1"/>
      </w:pPr>
      <w:bookmarkStart w:id="3" w:name="O_941909"/>
      <w:bookmarkEnd w:id="3"/>
      <w:r w:rsidRPr="001D0B49">
        <w:t>Pre-requisite Unit</w:t>
      </w:r>
    </w:p>
    <w:tbl>
      <w:tblPr>
        <w:tblW w:w="0" w:type="auto"/>
        <w:tblLayout w:type="fixed"/>
        <w:tblCellMar>
          <w:left w:w="62" w:type="dxa"/>
          <w:right w:w="62" w:type="dxa"/>
        </w:tblCellMar>
        <w:tblLook w:val="0000"/>
      </w:tblPr>
      <w:tblGrid>
        <w:gridCol w:w="2204"/>
        <w:gridCol w:w="6360"/>
      </w:tblGrid>
      <w:tr w:rsidTr="001D0B4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MEM09002</w:t>
            </w:r>
          </w:p>
        </w:tc>
        <w:tc>
          <w:tcPr>
            <w:tcW w:w="6360"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Interpret technical drawing</w:t>
            </w:r>
          </w:p>
        </w:tc>
      </w:tr>
      <w:tr w:rsidTr="001D0B4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MEM11011</w:t>
            </w:r>
          </w:p>
        </w:tc>
        <w:tc>
          <w:tcPr>
            <w:tcW w:w="6360"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Undertake manual handling</w:t>
            </w:r>
          </w:p>
        </w:tc>
      </w:tr>
      <w:tr w:rsidTr="001D0B4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MEM13015</w:t>
            </w:r>
          </w:p>
        </w:tc>
        <w:tc>
          <w:tcPr>
            <w:tcW w:w="6360"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Work safely and effectively in manufacturing and engineering</w:t>
            </w:r>
          </w:p>
        </w:tc>
      </w:tr>
      <w:tr w:rsidTr="001D0B4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MEM16006</w:t>
            </w:r>
          </w:p>
        </w:tc>
        <w:tc>
          <w:tcPr>
            <w:tcW w:w="6360" w:type="dxa"/>
            <w:tcBorders>
              <w:top w:val="nil"/>
              <w:left w:val="nil"/>
              <w:bottom w:val="nil"/>
              <w:right w:val="nil"/>
            </w:tcBorders>
            <w:tcMar>
              <w:top w:w="0" w:type="dxa"/>
              <w:left w:w="62" w:type="dxa"/>
              <w:bottom w:w="0" w:type="dxa"/>
              <w:right w:w="62" w:type="dxa"/>
            </w:tcMar>
          </w:tcPr>
          <w:p w:rsidR="00000000" w:rsidRPr="001D0B49" w:rsidP="001D0B49">
            <w:pPr>
              <w:pStyle w:val="BodyText"/>
            </w:pPr>
            <w:r w:rsidRPr="001D0B49">
              <w:t>Organise and communicate information</w:t>
            </w:r>
          </w:p>
        </w:tc>
      </w:tr>
    </w:tbl>
    <w:p w:rsidR="00000000" w:rsidRPr="001D0B49" w:rsidP="001D0B49">
      <w:pPr>
        <w:pStyle w:val="BodyText"/>
      </w:pPr>
    </w:p>
    <w:p w:rsidR="00000000" w:rsidRPr="001D0B49" w:rsidP="001D0B49">
      <w:pPr>
        <w:pStyle w:val="AllowPageBreak"/>
      </w:pPr>
    </w:p>
    <w:p w:rsidR="00000000" w:rsidRPr="001D0B49" w:rsidP="001D0B49">
      <w:pPr>
        <w:pStyle w:val="Heading1"/>
      </w:pPr>
      <w:bookmarkStart w:id="4" w:name="O_941908"/>
      <w:bookmarkEnd w:id="4"/>
      <w:r w:rsidRPr="001D0B49">
        <w:t>Competency Field</w:t>
      </w:r>
    </w:p>
    <w:p w:rsidR="00000000" w:rsidRPr="001D0B49" w:rsidP="00A42BF8">
      <w:pPr>
        <w:pStyle w:val="BodyText"/>
      </w:pPr>
      <w:r w:rsidRPr="001D0B49">
        <w:t>Maintenance and diagnostics</w:t>
      </w:r>
    </w:p>
    <w:p w:rsidR="00000000" w:rsidRPr="001D0B49" w:rsidP="001D0B49">
      <w:pPr>
        <w:pStyle w:val="Heading1"/>
      </w:pPr>
      <w:bookmarkStart w:id="5" w:name="O_941906"/>
      <w:bookmarkEnd w:id="5"/>
      <w:r w:rsidRPr="001D0B49">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1D0B49">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Performance criteria describe the performance needed to demonstrate achievement of the element.</w:t>
            </w:r>
          </w:p>
        </w:tc>
      </w:tr>
      <w:tr w:rsidTr="001D0B4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1D0B49" w:rsidP="001D0B49">
            <w:pPr>
              <w:pStyle w:val="BodyText"/>
            </w:pPr>
            <w:r w:rsidRPr="001D0B49">
              <w:t>1</w:t>
            </w:r>
          </w:p>
        </w:tc>
        <w:tc>
          <w:tcPr>
            <w:tcW w:w="1974" w:type="dxa"/>
            <w:vMerge w:val="restart"/>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1.1</w:t>
            </w:r>
          </w:p>
        </w:tc>
        <w:tc>
          <w:tcPr>
            <w:tcW w:w="5641"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Follow standard operating procedures (SOPs)</w:t>
            </w:r>
          </w:p>
        </w:tc>
      </w:tr>
      <w:tr w:rsidTr="001D0B4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1.2</w:t>
            </w:r>
          </w:p>
        </w:tc>
        <w:tc>
          <w:tcPr>
            <w:tcW w:w="5641"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Comply with work health and safety (WHS) requirements at all times</w:t>
            </w:r>
          </w:p>
        </w:tc>
      </w:tr>
      <w:tr w:rsidTr="001D0B4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1.3</w:t>
            </w:r>
          </w:p>
        </w:tc>
        <w:tc>
          <w:tcPr>
            <w:tcW w:w="5641"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Use appropriate personal protective equipment (PPE) in accordance with SOPs</w:t>
            </w:r>
          </w:p>
        </w:tc>
      </w:tr>
      <w:tr w:rsidTr="001D0B4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1.4</w:t>
            </w:r>
          </w:p>
        </w:tc>
        <w:tc>
          <w:tcPr>
            <w:tcW w:w="5641"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Identify job requirements from specifications, drawings, job sheets or work instructions</w:t>
            </w:r>
          </w:p>
        </w:tc>
      </w:tr>
      <w:tr w:rsidTr="001D0B49">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1D0B49">
            <w:pPr>
              <w:pStyle w:val="BodyText"/>
              <w:rPr>
                <w:lang w:val="en-NZ"/>
              </w:rPr>
            </w:pPr>
          </w:p>
        </w:tc>
      </w:tr>
      <w:tr w:rsidTr="001D0B4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1D0B49" w:rsidP="001D0B49">
            <w:pPr>
              <w:pStyle w:val="BodyText"/>
            </w:pPr>
            <w:r w:rsidRPr="001D0B49">
              <w:t>2</w:t>
            </w:r>
          </w:p>
        </w:tc>
        <w:tc>
          <w:tcPr>
            <w:tcW w:w="1974" w:type="dxa"/>
            <w:vMerge w:val="restart"/>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rPr>
                <w:rStyle w:val="SpecialBold"/>
              </w:rPr>
              <w:t>Plan and prepare for installation or servicing task</w:t>
            </w:r>
          </w:p>
        </w:tc>
        <w:tc>
          <w:tcPr>
            <w:tcW w:w="775"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2.1</w:t>
            </w:r>
          </w:p>
        </w:tc>
        <w:tc>
          <w:tcPr>
            <w:tcW w:w="5641"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Clarify job requirements and variations to work plan and take appropriate action</w:t>
            </w:r>
          </w:p>
        </w:tc>
      </w:tr>
      <w:tr w:rsidTr="001D0B4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2.2</w:t>
            </w:r>
          </w:p>
        </w:tc>
        <w:tc>
          <w:tcPr>
            <w:tcW w:w="5641"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Obtain required work permits</w:t>
            </w:r>
          </w:p>
        </w:tc>
      </w:tr>
      <w:tr w:rsidTr="001D0B4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2.3</w:t>
            </w:r>
          </w:p>
        </w:tc>
        <w:tc>
          <w:tcPr>
            <w:tcW w:w="5641"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Identify and comply with emergency and safety procedures for worksite</w:t>
            </w:r>
          </w:p>
        </w:tc>
      </w:tr>
      <w:tr w:rsidTr="001D0B49">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1D0B49">
            <w:pPr>
              <w:pStyle w:val="BodyText"/>
              <w:rPr>
                <w:lang w:val="en-NZ"/>
              </w:rPr>
            </w:pPr>
          </w:p>
        </w:tc>
      </w:tr>
      <w:tr w:rsidTr="001D0B4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1D0B49" w:rsidP="001D0B49">
            <w:pPr>
              <w:pStyle w:val="BodyText"/>
            </w:pPr>
            <w:r w:rsidRPr="001D0B49">
              <w:t>3</w:t>
            </w:r>
          </w:p>
        </w:tc>
        <w:tc>
          <w:tcPr>
            <w:tcW w:w="1974" w:type="dxa"/>
            <w:vMerge w:val="restart"/>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rPr>
                <w:rStyle w:val="SpecialBold"/>
              </w:rPr>
              <w:t>Confirm location and nature of key fuel system components</w:t>
            </w:r>
          </w:p>
        </w:tc>
        <w:tc>
          <w:tcPr>
            <w:tcW w:w="775"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3.1</w:t>
            </w:r>
          </w:p>
        </w:tc>
        <w:tc>
          <w:tcPr>
            <w:tcW w:w="5641"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Identify and locate above and below ground storage components</w:t>
            </w:r>
          </w:p>
        </w:tc>
      </w:tr>
      <w:tr w:rsidTr="001D0B4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3.2</w:t>
            </w:r>
          </w:p>
        </w:tc>
        <w:tc>
          <w:tcPr>
            <w:tcW w:w="5641"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Identify and locate fuel conveying, pumps and dispensing systems</w:t>
            </w:r>
          </w:p>
        </w:tc>
      </w:tr>
      <w:tr w:rsidTr="001D0B4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3.3</w:t>
            </w:r>
          </w:p>
        </w:tc>
        <w:tc>
          <w:tcPr>
            <w:tcW w:w="5641"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Confirm location of fuel system components with site plan</w:t>
            </w:r>
          </w:p>
        </w:tc>
      </w:tr>
      <w:tr w:rsidTr="001D0B4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3.4</w:t>
            </w:r>
          </w:p>
        </w:tc>
        <w:tc>
          <w:tcPr>
            <w:tcW w:w="5641"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Identify and report any hazards and/or inconsistencies with site plan, equipment drawings and regulatory requirements</w:t>
            </w:r>
          </w:p>
        </w:tc>
      </w:tr>
      <w:tr w:rsidTr="001D0B49">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1D0B49">
            <w:pPr>
              <w:pStyle w:val="BodyText"/>
              <w:rPr>
                <w:lang w:val="en-NZ"/>
              </w:rPr>
            </w:pPr>
          </w:p>
        </w:tc>
      </w:tr>
      <w:tr w:rsidTr="001D0B4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1D0B49" w:rsidP="001D0B49">
            <w:pPr>
              <w:pStyle w:val="BodyText"/>
            </w:pPr>
            <w:r w:rsidRPr="001D0B49">
              <w:t>4</w:t>
            </w:r>
          </w:p>
        </w:tc>
        <w:tc>
          <w:tcPr>
            <w:tcW w:w="1974" w:type="dxa"/>
            <w:vMerge w:val="restart"/>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rPr>
                <w:rStyle w:val="SpecialBold"/>
              </w:rPr>
              <w:t>Assess and manage risks associated with the work</w:t>
            </w:r>
          </w:p>
        </w:tc>
        <w:tc>
          <w:tcPr>
            <w:tcW w:w="775"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4.1</w:t>
            </w:r>
          </w:p>
        </w:tc>
        <w:tc>
          <w:tcPr>
            <w:tcW w:w="5641"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Identify fuels and other hazardous materials and other hazards on site</w:t>
            </w:r>
          </w:p>
        </w:tc>
      </w:tr>
      <w:tr w:rsidTr="001D0B4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4.2</w:t>
            </w:r>
          </w:p>
        </w:tc>
        <w:tc>
          <w:tcPr>
            <w:tcW w:w="5641"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Identify and confirm shut-off procedures, details of evacuation plan and location of emergency equipment</w:t>
            </w:r>
          </w:p>
        </w:tc>
      </w:tr>
      <w:tr w:rsidTr="001D0B4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4.3</w:t>
            </w:r>
          </w:p>
        </w:tc>
        <w:tc>
          <w:tcPr>
            <w:tcW w:w="5641"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 xml:space="preserve">Assess hazards and determine risks and apply </w:t>
            </w:r>
            <w:r w:rsidRPr="001D0B49">
              <w:t>appropriate control measures to control risks</w:t>
            </w:r>
          </w:p>
        </w:tc>
      </w:tr>
      <w:tr w:rsidTr="001D0B4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4.4</w:t>
            </w:r>
          </w:p>
        </w:tc>
        <w:tc>
          <w:tcPr>
            <w:tcW w:w="5641"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Select appropriate tools and equipment to be used on the job</w:t>
            </w:r>
          </w:p>
        </w:tc>
      </w:tr>
      <w:tr w:rsidTr="001D0B4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4.5</w:t>
            </w:r>
          </w:p>
        </w:tc>
        <w:tc>
          <w:tcPr>
            <w:tcW w:w="5641"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Identify nature and location of required isolations</w:t>
            </w:r>
          </w:p>
        </w:tc>
      </w:tr>
      <w:tr w:rsidTr="001D0B4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4.6</w:t>
            </w:r>
          </w:p>
        </w:tc>
        <w:tc>
          <w:tcPr>
            <w:tcW w:w="5641" w:type="dxa"/>
            <w:tcBorders>
              <w:top w:val="nil"/>
              <w:left w:val="nil"/>
              <w:bottom w:val="nil"/>
              <w:right w:val="nil"/>
            </w:tcBorders>
            <w:tcMar>
              <w:top w:w="0" w:type="dxa"/>
              <w:left w:w="62" w:type="dxa"/>
              <w:bottom w:w="0" w:type="dxa"/>
              <w:right w:w="62" w:type="dxa"/>
            </w:tcMar>
          </w:tcPr>
          <w:p w:rsidR="00000000" w:rsidRPr="001D0B49" w:rsidP="001D0B49">
            <w:pPr>
              <w:pStyle w:val="BodyText"/>
            </w:pPr>
            <w:r w:rsidRPr="001D0B49">
              <w:t>Determine the type of, and appropriate locations for, barriers to prevent unauthorised access to the work location and put them in place before job commencement</w:t>
            </w:r>
          </w:p>
        </w:tc>
      </w:tr>
    </w:tbl>
    <w:p w:rsidR="00000000" w:rsidRPr="001D0B49" w:rsidP="001D0B49">
      <w:pPr>
        <w:pStyle w:val="BodyText"/>
      </w:pPr>
    </w:p>
    <w:p w:rsidR="00000000" w:rsidRPr="001D0B49" w:rsidP="001D0B49">
      <w:pPr>
        <w:pStyle w:val="AllowPageBreak"/>
      </w:pPr>
    </w:p>
    <w:p w:rsidR="00000000" w:rsidRPr="001D0B49" w:rsidP="001D0B49">
      <w:pPr>
        <w:pStyle w:val="Heading1"/>
      </w:pPr>
      <w:bookmarkStart w:id="6" w:name="O_941905"/>
      <w:bookmarkEnd w:id="6"/>
      <w:r w:rsidRPr="001D0B49">
        <w:t>Foundation Skills</w:t>
      </w:r>
    </w:p>
    <w:p w:rsidR="00000000" w:rsidRPr="001D0B49" w:rsidP="00A42BF8">
      <w:pPr>
        <w:pStyle w:val="BodyText"/>
      </w:pPr>
      <w:r w:rsidRPr="001D0B49">
        <w:t>This section describes those required skills (reading, wri</w:t>
      </w:r>
      <w:r w:rsidRPr="001D0B49">
        <w:t xml:space="preserve">ting, oral communication and numeracy) that are essential to workplace performance in this unit of competency.  </w:t>
      </w:r>
    </w:p>
    <w:p w:rsidR="00000000" w:rsidRPr="001D0B49" w:rsidP="00A42BF8">
      <w:pPr>
        <w:pStyle w:val="BodyText"/>
      </w:pPr>
      <w:r w:rsidRPr="001D0B49">
        <w:t>Foundation skills essential to performance are explicit in the performance criteria of this unit of competency.</w:t>
      </w:r>
    </w:p>
    <w:p w:rsidR="00000000" w:rsidRPr="001D0B49" w:rsidP="001D0B49">
      <w:pPr>
        <w:pStyle w:val="Heading1"/>
      </w:pPr>
      <w:bookmarkStart w:id="7" w:name="O_941904"/>
      <w:bookmarkEnd w:id="7"/>
      <w:r w:rsidRPr="001D0B49">
        <w:t>Range of Conditions</w:t>
      </w:r>
    </w:p>
    <w:tbl>
      <w:tblPr>
        <w:tblW w:w="0" w:type="auto"/>
        <w:tblLayout w:type="fixed"/>
        <w:tblCellMar>
          <w:left w:w="62" w:type="dxa"/>
          <w:right w:w="62" w:type="dxa"/>
        </w:tblCellMar>
        <w:tblLook w:val="0000"/>
      </w:tblPr>
      <w:tblGrid>
        <w:gridCol w:w="2758"/>
        <w:gridCol w:w="6384"/>
      </w:tblGrid>
      <w:tr w:rsidTr="001D0B49">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t>This field allows for different work environments and conditions that may affect performance. Essential operating conditions that may be present (depending on the work situation, needs of the candidate, accessibility of the item, and lo</w:t>
            </w:r>
            <w:r w:rsidRPr="001D0B49">
              <w:t>cal industry and regional contexts) are included.</w:t>
            </w:r>
          </w:p>
        </w:tc>
      </w:tr>
      <w:tr w:rsidTr="001D0B49">
        <w:tblPrEx>
          <w:tblW w:w="0" w:type="auto"/>
          <w:tblLayout w:type="fixed"/>
          <w:tblCellMar>
            <w:left w:w="62" w:type="dxa"/>
            <w:right w:w="62" w:type="dxa"/>
          </w:tblCellMar>
          <w:tblLook w:val="0000"/>
        </w:tblPrEx>
        <w:trPr>
          <w:trHeight w:val="2783"/>
        </w:trPr>
        <w:tc>
          <w:tcPr>
            <w:tcW w:w="2758"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rPr>
                <w:rStyle w:val="SpecialBold"/>
              </w:rPr>
              <w:t>Work permits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1D0B49" w:rsidP="001D0B49">
            <w:pPr>
              <w:pStyle w:val="ListBullet"/>
            </w:pPr>
            <w:r w:rsidRPr="001D0B49">
              <w:t>permits issued by client</w:t>
            </w:r>
          </w:p>
          <w:p w:rsidR="00000000" w:rsidRPr="001D0B49" w:rsidP="001D0B49">
            <w:pPr>
              <w:pStyle w:val="ListBullet"/>
            </w:pPr>
            <w:r w:rsidRPr="001D0B49">
              <w:t>permits using the Australian Institute of Petroleum (AIP) form</w:t>
            </w:r>
          </w:p>
          <w:p w:rsidR="00000000" w:rsidRPr="001D0B49" w:rsidP="001D0B49">
            <w:pPr>
              <w:pStyle w:val="ListBullet"/>
            </w:pPr>
            <w:r w:rsidRPr="001D0B49">
              <w:t>other work documents required for the job</w:t>
            </w:r>
          </w:p>
          <w:p w:rsidR="00000000" w:rsidRPr="001D0B49" w:rsidP="001D0B49">
            <w:pPr>
              <w:pStyle w:val="ListBullet"/>
            </w:pPr>
            <w:r w:rsidRPr="001D0B49">
              <w:t xml:space="preserve">hot work </w:t>
            </w:r>
          </w:p>
          <w:p w:rsidR="00000000" w:rsidRPr="001D0B49" w:rsidP="001D0B49">
            <w:pPr>
              <w:pStyle w:val="ListBullet"/>
            </w:pPr>
            <w:r w:rsidRPr="001D0B49">
              <w:t>cold wor</w:t>
            </w:r>
            <w:r w:rsidRPr="001D0B49">
              <w:t>k</w:t>
            </w:r>
          </w:p>
          <w:p w:rsidR="00000000" w:rsidRPr="001D0B49" w:rsidP="001D0B49">
            <w:pPr>
              <w:pStyle w:val="ListBullet"/>
            </w:pPr>
            <w:r w:rsidRPr="001D0B49">
              <w:t>confined space</w:t>
            </w:r>
          </w:p>
          <w:p w:rsidR="00000000" w:rsidRPr="001D0B49" w:rsidP="001D0B49">
            <w:pPr>
              <w:pStyle w:val="ListBullet"/>
            </w:pPr>
            <w:r w:rsidRPr="001D0B49">
              <w:t>excavation</w:t>
            </w:r>
          </w:p>
          <w:p w:rsidR="00000000" w:rsidP="001D0B49">
            <w:pPr>
              <w:pStyle w:val="ListBullet"/>
              <w:rPr>
                <w:lang w:val="en-NZ"/>
              </w:rPr>
            </w:pPr>
            <w:r w:rsidRPr="001D0B49">
              <w:t>working at heights</w:t>
            </w:r>
          </w:p>
        </w:tc>
      </w:tr>
      <w:tr w:rsidTr="001D0B49">
        <w:tblPrEx>
          <w:tblW w:w="0" w:type="auto"/>
          <w:tblLayout w:type="fixed"/>
          <w:tblCellMar>
            <w:left w:w="62" w:type="dxa"/>
            <w:right w:w="62" w:type="dxa"/>
          </w:tblCellMar>
          <w:tblLook w:val="0000"/>
        </w:tblPrEx>
        <w:trPr>
          <w:trHeight w:val="2317"/>
        </w:trPr>
        <w:tc>
          <w:tcPr>
            <w:tcW w:w="2758"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rPr>
                <w:rStyle w:val="SpecialBold"/>
              </w:rPr>
              <w:t>Emergency and safety procedures for worksite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1D0B49" w:rsidP="001D0B49">
            <w:pPr>
              <w:pStyle w:val="ListBullet"/>
            </w:pPr>
            <w:r w:rsidRPr="001D0B49">
              <w:t>specific procedures for that site</w:t>
            </w:r>
          </w:p>
          <w:p w:rsidR="00000000" w:rsidRPr="001D0B49" w:rsidP="001D0B49">
            <w:pPr>
              <w:pStyle w:val="ListBullet"/>
            </w:pPr>
            <w:r w:rsidRPr="001D0B49">
              <w:t>location of emergency shut-off and procedures for re-setting emergency shut-off</w:t>
            </w:r>
          </w:p>
          <w:p w:rsidR="00000000" w:rsidRPr="001D0B49" w:rsidP="001D0B49">
            <w:pPr>
              <w:pStyle w:val="ListBullet"/>
            </w:pPr>
            <w:r w:rsidRPr="001D0B49">
              <w:t>dealing with spills or other losses in containment</w:t>
            </w:r>
          </w:p>
          <w:p w:rsidR="00000000" w:rsidRPr="001D0B49" w:rsidP="001D0B49">
            <w:pPr>
              <w:pStyle w:val="ListBullet"/>
            </w:pPr>
            <w:r w:rsidRPr="001D0B49">
              <w:t>fire response</w:t>
            </w:r>
          </w:p>
          <w:p w:rsidR="00000000" w:rsidRPr="001D0B49" w:rsidP="001D0B49">
            <w:pPr>
              <w:pStyle w:val="ListBullet"/>
            </w:pPr>
            <w:r w:rsidRPr="001D0B49">
              <w:t>other incident response procedures for that site</w:t>
            </w:r>
          </w:p>
          <w:p w:rsidR="00000000" w:rsidP="001D0B49">
            <w:pPr>
              <w:pStyle w:val="ListBullet"/>
              <w:rPr>
                <w:lang w:val="en-NZ"/>
              </w:rPr>
            </w:pPr>
            <w:r w:rsidRPr="001D0B49">
              <w:t>other site-specific hazards and procedures</w:t>
            </w:r>
          </w:p>
        </w:tc>
      </w:tr>
      <w:tr w:rsidTr="001D0B49">
        <w:tblPrEx>
          <w:tblW w:w="0" w:type="auto"/>
          <w:tblLayout w:type="fixed"/>
          <w:tblCellMar>
            <w:left w:w="62" w:type="dxa"/>
            <w:right w:w="62" w:type="dxa"/>
          </w:tblCellMar>
          <w:tblLook w:val="0000"/>
        </w:tblPrEx>
        <w:trPr>
          <w:trHeight w:val="1798"/>
        </w:trPr>
        <w:tc>
          <w:tcPr>
            <w:tcW w:w="2758"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rPr>
                <w:rStyle w:val="SpecialBold"/>
              </w:rPr>
              <w:t>Storage components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1D0B49" w:rsidP="001D0B49">
            <w:pPr>
              <w:pStyle w:val="ListBullet"/>
            </w:pPr>
            <w:r w:rsidRPr="001D0B49">
              <w:t>single wall tanks</w:t>
            </w:r>
          </w:p>
          <w:p w:rsidR="00000000" w:rsidRPr="001D0B49" w:rsidP="001D0B49">
            <w:pPr>
              <w:pStyle w:val="ListBullet"/>
            </w:pPr>
            <w:r w:rsidRPr="001D0B49">
              <w:t>jacketed steel tanks</w:t>
            </w:r>
          </w:p>
          <w:p w:rsidR="00000000" w:rsidRPr="001D0B49" w:rsidP="001D0B49">
            <w:pPr>
              <w:pStyle w:val="ListBullet"/>
            </w:pPr>
            <w:r w:rsidRPr="001D0B49">
              <w:t>double-walled tanks (dry and liquid filled interstitial space)</w:t>
            </w:r>
          </w:p>
          <w:p w:rsidR="00000000" w:rsidRPr="001D0B49" w:rsidP="001D0B49">
            <w:pPr>
              <w:pStyle w:val="ListBullet"/>
            </w:pPr>
            <w:r w:rsidRPr="001D0B49">
              <w:t>fibre composite (FRP) tanks</w:t>
            </w:r>
          </w:p>
          <w:p w:rsidR="00000000" w:rsidP="001D0B49">
            <w:pPr>
              <w:pStyle w:val="ListBullet"/>
              <w:rPr>
                <w:lang w:val="en-NZ"/>
              </w:rPr>
            </w:pPr>
            <w:r w:rsidRPr="001D0B49">
              <w:t>high density polyethylene (HDPE) tanks</w:t>
            </w:r>
          </w:p>
        </w:tc>
      </w:tr>
      <w:tr w:rsidTr="001D0B49">
        <w:tblPrEx>
          <w:tblW w:w="0" w:type="auto"/>
          <w:tblLayout w:type="fixed"/>
          <w:tblCellMar>
            <w:left w:w="62" w:type="dxa"/>
            <w:right w:w="62" w:type="dxa"/>
          </w:tblCellMar>
          <w:tblLook w:val="0000"/>
        </w:tblPrEx>
        <w:trPr>
          <w:trHeight w:val="1542"/>
        </w:trPr>
        <w:tc>
          <w:tcPr>
            <w:tcW w:w="2758"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rPr>
                <w:rStyle w:val="SpecialBold"/>
              </w:rPr>
              <w:t>Fuel conveying systems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1D0B49" w:rsidP="001D0B49">
            <w:pPr>
              <w:pStyle w:val="ListBullet"/>
            </w:pPr>
            <w:r w:rsidRPr="001D0B49">
              <w:t>steel pipes</w:t>
            </w:r>
          </w:p>
          <w:p w:rsidR="00000000" w:rsidRPr="001D0B49" w:rsidP="001D0B49">
            <w:pPr>
              <w:pStyle w:val="ListBullet"/>
            </w:pPr>
            <w:r w:rsidRPr="001D0B49">
              <w:t>HDPE pipes</w:t>
            </w:r>
          </w:p>
          <w:p w:rsidR="00000000" w:rsidRPr="001D0B49" w:rsidP="001D0B49">
            <w:pPr>
              <w:pStyle w:val="ListBullet"/>
            </w:pPr>
            <w:r w:rsidRPr="001D0B49">
              <w:t>vapour recovery systems and pipes</w:t>
            </w:r>
          </w:p>
          <w:p w:rsidR="00000000" w:rsidP="001D0B49">
            <w:pPr>
              <w:pStyle w:val="ListBullet"/>
              <w:rPr>
                <w:lang w:val="en-NZ"/>
              </w:rPr>
            </w:pPr>
            <w:r w:rsidRPr="001D0B49">
              <w:t>pipe joining</w:t>
            </w:r>
          </w:p>
        </w:tc>
      </w:tr>
      <w:tr w:rsidTr="001D0B49">
        <w:tblPrEx>
          <w:tblW w:w="0" w:type="auto"/>
          <w:tblLayout w:type="fixed"/>
          <w:tblCellMar>
            <w:left w:w="62" w:type="dxa"/>
            <w:right w:w="62" w:type="dxa"/>
          </w:tblCellMar>
          <w:tblLook w:val="0000"/>
        </w:tblPrEx>
        <w:trPr>
          <w:trHeight w:val="1809"/>
        </w:trPr>
        <w:tc>
          <w:tcPr>
            <w:tcW w:w="2758"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rPr>
                <w:rStyle w:val="SpecialBold"/>
              </w:rPr>
              <w:t>Pumps and pump systems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1D0B49" w:rsidP="001D0B49">
            <w:pPr>
              <w:pStyle w:val="ListBullet"/>
            </w:pPr>
            <w:r w:rsidRPr="001D0B49">
              <w:t>centrifugal pumps</w:t>
            </w:r>
          </w:p>
          <w:p w:rsidR="00000000" w:rsidRPr="001D0B49" w:rsidP="001D0B49">
            <w:pPr>
              <w:pStyle w:val="ListBullet"/>
            </w:pPr>
            <w:r w:rsidRPr="001D0B49">
              <w:t>positive displacement pumps</w:t>
            </w:r>
          </w:p>
          <w:p w:rsidR="00000000" w:rsidRPr="001D0B49" w:rsidP="001D0B49">
            <w:pPr>
              <w:pStyle w:val="ListBullet"/>
            </w:pPr>
            <w:r w:rsidRPr="001D0B49">
              <w:t>pressure and suction systems</w:t>
            </w:r>
          </w:p>
          <w:p w:rsidR="00000000" w:rsidRPr="001D0B49" w:rsidP="001D0B49">
            <w:pPr>
              <w:pStyle w:val="ListBullet"/>
            </w:pPr>
            <w:r w:rsidRPr="001D0B49">
              <w:t>pumping problems</w:t>
            </w:r>
          </w:p>
          <w:p w:rsidR="00000000" w:rsidP="001D0B49">
            <w:pPr>
              <w:pStyle w:val="ListBullet"/>
              <w:rPr>
                <w:lang w:val="en-NZ"/>
              </w:rPr>
            </w:pPr>
            <w:r w:rsidRPr="001D0B49">
              <w:t>multiproduct pumps</w:t>
            </w:r>
          </w:p>
        </w:tc>
      </w:tr>
      <w:tr w:rsidTr="001D0B49">
        <w:tblPrEx>
          <w:tblW w:w="0" w:type="auto"/>
          <w:tblLayout w:type="fixed"/>
          <w:tblCellMar>
            <w:left w:w="62" w:type="dxa"/>
            <w:right w:w="62" w:type="dxa"/>
          </w:tblCellMar>
          <w:tblLook w:val="0000"/>
        </w:tblPrEx>
        <w:trPr>
          <w:trHeight w:val="2119"/>
        </w:trPr>
        <w:tc>
          <w:tcPr>
            <w:tcW w:w="2758"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rPr>
                <w:rStyle w:val="SpecialBold"/>
              </w:rPr>
              <w:t>Dispensing systems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1D0B49" w:rsidP="001D0B49">
            <w:pPr>
              <w:pStyle w:val="ListBullet"/>
            </w:pPr>
            <w:r w:rsidRPr="001D0B49">
              <w:t>fuel metering</w:t>
            </w:r>
          </w:p>
          <w:p w:rsidR="00000000" w:rsidRPr="001D0B49" w:rsidP="001D0B49">
            <w:pPr>
              <w:pStyle w:val="ListBullet"/>
            </w:pPr>
            <w:r w:rsidRPr="001D0B49">
              <w:t>hoses and nozzles</w:t>
            </w:r>
          </w:p>
          <w:p w:rsidR="00000000" w:rsidRPr="001D0B49" w:rsidP="001D0B49">
            <w:pPr>
              <w:pStyle w:val="ListBullet"/>
            </w:pPr>
            <w:r w:rsidRPr="001D0B49">
              <w:t>stage two vapour recovery</w:t>
            </w:r>
          </w:p>
          <w:p w:rsidR="00000000" w:rsidRPr="001D0B49" w:rsidP="001D0B49">
            <w:pPr>
              <w:pStyle w:val="ListBullet"/>
            </w:pPr>
            <w:r w:rsidRPr="001D0B49">
              <w:t>flow control valves</w:t>
            </w:r>
          </w:p>
          <w:p w:rsidR="00000000" w:rsidRPr="001D0B49" w:rsidP="001D0B49">
            <w:pPr>
              <w:pStyle w:val="ListBullet"/>
            </w:pPr>
            <w:r w:rsidRPr="001D0B49">
              <w:t>discharge control</w:t>
            </w:r>
          </w:p>
          <w:p w:rsidR="00000000" w:rsidP="001D0B49">
            <w:pPr>
              <w:pStyle w:val="ListBullet"/>
              <w:rPr>
                <w:lang w:val="en-NZ"/>
              </w:rPr>
            </w:pPr>
            <w:r w:rsidRPr="001D0B49">
              <w:t>multiproduct dispensers</w:t>
            </w:r>
          </w:p>
        </w:tc>
      </w:tr>
      <w:tr w:rsidTr="001D0B49">
        <w:tblPrEx>
          <w:tblW w:w="0" w:type="auto"/>
          <w:tblLayout w:type="fixed"/>
          <w:tblCellMar>
            <w:left w:w="62" w:type="dxa"/>
            <w:right w:w="62" w:type="dxa"/>
          </w:tblCellMar>
          <w:tblLook w:val="0000"/>
        </w:tblPrEx>
        <w:trPr>
          <w:trHeight w:val="1863"/>
        </w:trPr>
        <w:tc>
          <w:tcPr>
            <w:tcW w:w="2758"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rPr>
                <w:rStyle w:val="SpecialBold"/>
              </w:rPr>
              <w:t>Corrosion protection systems and components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1D0B49" w:rsidP="001D0B49">
            <w:pPr>
              <w:pStyle w:val="ListBullet"/>
            </w:pPr>
            <w:r w:rsidRPr="001D0B49">
              <w:t>cathodic protection, including:</w:t>
            </w:r>
          </w:p>
          <w:p w:rsidR="00000000" w:rsidRPr="001D0B49" w:rsidP="001D0B49">
            <w:pPr>
              <w:pStyle w:val="ListBullet2"/>
            </w:pPr>
            <w:r w:rsidRPr="001D0B49">
              <w:t>impressed current</w:t>
            </w:r>
          </w:p>
          <w:p w:rsidR="00000000" w:rsidRPr="001D0B49" w:rsidP="001D0B49">
            <w:pPr>
              <w:pStyle w:val="ListBullet2"/>
            </w:pPr>
            <w:r w:rsidRPr="001D0B49">
              <w:t>sacrificial anode</w:t>
            </w:r>
          </w:p>
          <w:p w:rsidR="00000000" w:rsidRPr="001D0B49" w:rsidP="001D0B49">
            <w:pPr>
              <w:pStyle w:val="ListBullet"/>
            </w:pPr>
            <w:r w:rsidRPr="001D0B49">
              <w:t>wrapping</w:t>
            </w:r>
          </w:p>
          <w:p w:rsidR="00000000" w:rsidP="001D0B49">
            <w:pPr>
              <w:pStyle w:val="ListBullet"/>
              <w:rPr>
                <w:lang w:val="en-NZ"/>
              </w:rPr>
            </w:pPr>
            <w:r w:rsidRPr="001D0B49">
              <w:t>coating</w:t>
            </w:r>
          </w:p>
        </w:tc>
      </w:tr>
      <w:tr w:rsidTr="001D0B49">
        <w:tblPrEx>
          <w:tblW w:w="0" w:type="auto"/>
          <w:tblLayout w:type="fixed"/>
          <w:tblCellMar>
            <w:left w:w="62" w:type="dxa"/>
            <w:right w:w="62" w:type="dxa"/>
          </w:tblCellMar>
          <w:tblLook w:val="0000"/>
        </w:tblPrEx>
        <w:trPr>
          <w:trHeight w:val="1510"/>
        </w:trPr>
        <w:tc>
          <w:tcPr>
            <w:tcW w:w="2758"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rPr>
                <w:rStyle w:val="SpecialBold"/>
              </w:rPr>
              <w:t>Fuels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1D0B49" w:rsidP="001D0B49">
            <w:pPr>
              <w:pStyle w:val="ListBullet"/>
            </w:pPr>
            <w:r w:rsidRPr="001D0B49">
              <w:t>petrol</w:t>
            </w:r>
          </w:p>
          <w:p w:rsidR="00000000" w:rsidRPr="001D0B49" w:rsidP="001D0B49">
            <w:pPr>
              <w:pStyle w:val="ListBullet"/>
            </w:pPr>
            <w:r w:rsidRPr="001D0B49">
              <w:t>ethanol blend fuels (of various concentrations)</w:t>
            </w:r>
          </w:p>
          <w:p w:rsidR="00000000" w:rsidRPr="001D0B49" w:rsidP="001D0B49">
            <w:pPr>
              <w:pStyle w:val="ListBullet"/>
            </w:pPr>
            <w:r w:rsidRPr="001D0B49">
              <w:t>diesel and biodiesel</w:t>
            </w:r>
          </w:p>
          <w:p w:rsidR="00000000" w:rsidP="001D0B49">
            <w:pPr>
              <w:pStyle w:val="ListBullet"/>
              <w:rPr>
                <w:lang w:val="en-NZ"/>
              </w:rPr>
            </w:pPr>
            <w:r w:rsidRPr="001D0B49">
              <w:t>liquefied petroleum gas (LPG)</w:t>
            </w:r>
          </w:p>
        </w:tc>
      </w:tr>
      <w:tr w:rsidTr="001D0B49">
        <w:tblPrEx>
          <w:tblW w:w="0" w:type="auto"/>
          <w:tblLayout w:type="fixed"/>
          <w:tblCellMar>
            <w:left w:w="62" w:type="dxa"/>
            <w:right w:w="62" w:type="dxa"/>
          </w:tblCellMar>
          <w:tblLook w:val="0000"/>
        </w:tblPrEx>
        <w:trPr>
          <w:trHeight w:val="2162"/>
        </w:trPr>
        <w:tc>
          <w:tcPr>
            <w:tcW w:w="2758"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rPr>
                <w:rStyle w:val="SpecialBold"/>
              </w:rPr>
              <w:t>Hazardous materials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1D0B49" w:rsidP="001D0B49">
            <w:pPr>
              <w:pStyle w:val="ListBullet"/>
            </w:pPr>
            <w:r w:rsidRPr="001D0B49">
              <w:t>‘solid’ pool chlorine (calcium hypochlorite)</w:t>
            </w:r>
          </w:p>
          <w:p w:rsidR="00000000" w:rsidRPr="001D0B49" w:rsidP="001D0B49">
            <w:pPr>
              <w:pStyle w:val="ListBullet"/>
            </w:pPr>
            <w:r w:rsidRPr="001D0B49">
              <w:t>‘liquid’</w:t>
            </w:r>
            <w:r w:rsidRPr="001D0B49">
              <w:t xml:space="preserve"> pool chlorine (sodium hypochlorite solutions)</w:t>
            </w:r>
          </w:p>
          <w:p w:rsidR="00000000" w:rsidRPr="001D0B49" w:rsidP="001D0B49">
            <w:pPr>
              <w:pStyle w:val="ListBullet"/>
            </w:pPr>
            <w:r w:rsidRPr="001D0B49">
              <w:t>lubricants</w:t>
            </w:r>
          </w:p>
          <w:p w:rsidR="00000000" w:rsidRPr="001D0B49" w:rsidP="001D0B49">
            <w:pPr>
              <w:pStyle w:val="ListBullet"/>
            </w:pPr>
            <w:r w:rsidRPr="001D0B49">
              <w:t>cleaning agents</w:t>
            </w:r>
          </w:p>
          <w:p w:rsidR="00000000" w:rsidRPr="001D0B49" w:rsidP="001D0B49">
            <w:pPr>
              <w:pStyle w:val="ListBullet"/>
            </w:pPr>
            <w:r w:rsidRPr="001D0B49">
              <w:t>gas bottles</w:t>
            </w:r>
          </w:p>
          <w:p w:rsidR="00000000" w:rsidP="001D0B49">
            <w:pPr>
              <w:pStyle w:val="ListBullet"/>
              <w:rPr>
                <w:lang w:val="en-NZ"/>
              </w:rPr>
            </w:pPr>
            <w:r w:rsidRPr="001D0B49">
              <w:t>workshop materials</w:t>
            </w:r>
          </w:p>
        </w:tc>
      </w:tr>
      <w:tr w:rsidTr="001D0B49">
        <w:tblPrEx>
          <w:tblW w:w="0" w:type="auto"/>
          <w:tblLayout w:type="fixed"/>
          <w:tblCellMar>
            <w:left w:w="62" w:type="dxa"/>
            <w:right w:w="62" w:type="dxa"/>
          </w:tblCellMar>
          <w:tblLook w:val="0000"/>
        </w:tblPrEx>
        <w:trPr>
          <w:trHeight w:val="1488"/>
        </w:trPr>
        <w:tc>
          <w:tcPr>
            <w:tcW w:w="2758"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rPr>
                <w:rStyle w:val="SpecialBold"/>
              </w:rPr>
              <w:t>Appropriate tools include:</w:t>
            </w:r>
          </w:p>
        </w:tc>
        <w:tc>
          <w:tcPr>
            <w:tcW w:w="6384" w:type="dxa"/>
            <w:tcBorders>
              <w:top w:val="nil"/>
              <w:left w:val="nil"/>
              <w:bottom w:val="nil"/>
              <w:right w:val="nil"/>
            </w:tcBorders>
            <w:tcMar>
              <w:top w:w="0" w:type="dxa"/>
              <w:left w:w="62" w:type="dxa"/>
              <w:bottom w:w="0" w:type="dxa"/>
              <w:right w:w="62" w:type="dxa"/>
            </w:tcMar>
          </w:tcPr>
          <w:p w:rsidR="00000000" w:rsidRPr="001D0B49" w:rsidP="001D0B49">
            <w:pPr>
              <w:pStyle w:val="ListBullet"/>
            </w:pPr>
            <w:r w:rsidRPr="001D0B49">
              <w:t>tools that are:</w:t>
            </w:r>
          </w:p>
          <w:p w:rsidR="00000000" w:rsidRPr="001D0B49" w:rsidP="001D0B49">
            <w:pPr>
              <w:pStyle w:val="ListBullet2"/>
            </w:pPr>
            <w:r w:rsidRPr="001D0B49">
              <w:t xml:space="preserve">intrinsically safe </w:t>
            </w:r>
          </w:p>
          <w:p w:rsidR="00000000" w:rsidRPr="001D0B49" w:rsidP="001D0B49">
            <w:pPr>
              <w:pStyle w:val="ListBullet2"/>
            </w:pPr>
            <w:r w:rsidRPr="001D0B49">
              <w:t>ergonomically appropriate to the job</w:t>
            </w:r>
          </w:p>
          <w:p w:rsidR="00000000" w:rsidP="001D0B49">
            <w:pPr>
              <w:pStyle w:val="ListBullet2"/>
              <w:rPr>
                <w:lang w:val="en-NZ"/>
              </w:rPr>
            </w:pPr>
            <w:r w:rsidRPr="001D0B49">
              <w:t>safe and in good condition</w:t>
            </w:r>
          </w:p>
        </w:tc>
      </w:tr>
      <w:tr w:rsidTr="001D0B49">
        <w:tblPrEx>
          <w:tblW w:w="0" w:type="auto"/>
          <w:tblLayout w:type="fixed"/>
          <w:tblCellMar>
            <w:left w:w="62" w:type="dxa"/>
            <w:right w:w="62" w:type="dxa"/>
          </w:tblCellMar>
          <w:tblLook w:val="0000"/>
        </w:tblPrEx>
        <w:trPr>
          <w:trHeight w:val="1820"/>
        </w:trPr>
        <w:tc>
          <w:tcPr>
            <w:tcW w:w="2758"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rPr>
                <w:rStyle w:val="SpecialBold"/>
              </w:rPr>
              <w:t>Required isolations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1D0B49" w:rsidP="001D0B49">
            <w:pPr>
              <w:pStyle w:val="ListBullet"/>
            </w:pPr>
            <w:r w:rsidRPr="001D0B49">
              <w:t>lock out/tag out</w:t>
            </w:r>
          </w:p>
          <w:p w:rsidR="00000000" w:rsidRPr="001D0B49" w:rsidP="001D0B49">
            <w:pPr>
              <w:pStyle w:val="ListBullet"/>
            </w:pPr>
            <w:r w:rsidRPr="001D0B49">
              <w:t>double block and bleed</w:t>
            </w:r>
          </w:p>
          <w:p w:rsidR="00000000" w:rsidRPr="001D0B49" w:rsidP="001D0B49">
            <w:pPr>
              <w:pStyle w:val="ListBullet"/>
            </w:pPr>
            <w:r w:rsidRPr="001D0B49">
              <w:t>use of blanks, blinds and goggles</w:t>
            </w:r>
          </w:p>
          <w:p w:rsidR="00000000" w:rsidRPr="001D0B49" w:rsidP="001D0B49">
            <w:pPr>
              <w:pStyle w:val="ListBullet"/>
            </w:pPr>
            <w:r w:rsidRPr="001D0B49">
              <w:t>removal of spool piece</w:t>
            </w:r>
          </w:p>
          <w:p w:rsidR="00000000" w:rsidP="001D0B49">
            <w:pPr>
              <w:pStyle w:val="ListBullet"/>
              <w:rPr>
                <w:lang w:val="en-NZ"/>
              </w:rPr>
            </w:pPr>
            <w:r w:rsidRPr="001D0B49">
              <w:t>removal of mechanical drives</w:t>
            </w:r>
          </w:p>
        </w:tc>
      </w:tr>
      <w:tr w:rsidTr="001D0B49">
        <w:tblPrEx>
          <w:tblW w:w="0" w:type="auto"/>
          <w:tblLayout w:type="fixed"/>
          <w:tblCellMar>
            <w:left w:w="62" w:type="dxa"/>
            <w:right w:w="62" w:type="dxa"/>
          </w:tblCellMar>
          <w:tblLook w:val="0000"/>
        </w:tblPrEx>
        <w:trPr>
          <w:trHeight w:val="1777"/>
        </w:trPr>
        <w:tc>
          <w:tcPr>
            <w:tcW w:w="2758"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rPr>
                <w:rStyle w:val="SpecialBold"/>
              </w:rPr>
              <w:t>Barriers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1D0B49" w:rsidP="001D0B49">
            <w:pPr>
              <w:pStyle w:val="ListBullet"/>
            </w:pPr>
            <w:r w:rsidRPr="001D0B49">
              <w:t>temporary fencing</w:t>
            </w:r>
          </w:p>
          <w:p w:rsidR="00000000" w:rsidRPr="001D0B49" w:rsidP="001D0B49">
            <w:pPr>
              <w:pStyle w:val="ListBullet"/>
            </w:pPr>
            <w:r w:rsidRPr="001D0B49">
              <w:t>bollards</w:t>
            </w:r>
          </w:p>
          <w:p w:rsidR="00000000" w:rsidRPr="001D0B49" w:rsidP="001D0B49">
            <w:pPr>
              <w:pStyle w:val="ListBullet"/>
            </w:pPr>
            <w:r w:rsidRPr="001D0B49">
              <w:t>witches hats</w:t>
            </w:r>
          </w:p>
          <w:p w:rsidR="00000000" w:rsidRPr="001D0B49" w:rsidP="001D0B49">
            <w:pPr>
              <w:pStyle w:val="ListBullet"/>
            </w:pPr>
            <w:r w:rsidRPr="001D0B49">
              <w:t>tapes</w:t>
            </w:r>
          </w:p>
          <w:p w:rsidR="00000000" w:rsidP="001D0B49">
            <w:pPr>
              <w:pStyle w:val="ListBullet"/>
              <w:rPr>
                <w:lang w:val="en-NZ"/>
              </w:rPr>
            </w:pPr>
            <w:r w:rsidRPr="001D0B49">
              <w:t>signage</w:t>
            </w:r>
          </w:p>
        </w:tc>
      </w:tr>
      <w:tr w:rsidTr="001D0B49">
        <w:tblPrEx>
          <w:tblW w:w="0" w:type="auto"/>
          <w:tblLayout w:type="fixed"/>
          <w:tblCellMar>
            <w:left w:w="62" w:type="dxa"/>
            <w:right w:w="62" w:type="dxa"/>
          </w:tblCellMar>
          <w:tblLook w:val="0000"/>
        </w:tblPrEx>
        <w:trPr>
          <w:trHeight w:val="1777"/>
        </w:trPr>
        <w:tc>
          <w:tcPr>
            <w:tcW w:w="2758" w:type="dxa"/>
            <w:tcBorders>
              <w:top w:val="nil"/>
              <w:left w:val="nil"/>
              <w:bottom w:val="nil"/>
              <w:right w:val="nil"/>
            </w:tcBorders>
            <w:tcMar>
              <w:top w:w="0" w:type="dxa"/>
              <w:left w:w="62" w:type="dxa"/>
              <w:bottom w:w="0" w:type="dxa"/>
              <w:right w:w="62" w:type="dxa"/>
            </w:tcMar>
          </w:tcPr>
          <w:p w:rsidR="00000000" w:rsidP="001D0B49">
            <w:pPr>
              <w:pStyle w:val="BodyText"/>
              <w:rPr>
                <w:lang w:val="en-NZ"/>
              </w:rPr>
            </w:pPr>
            <w:r w:rsidRPr="001D0B49">
              <w:rPr>
                <w:rStyle w:val="SpecialBold"/>
              </w:rPr>
              <w:t>Problems include one (1) or more of the following:</w:t>
            </w:r>
          </w:p>
        </w:tc>
        <w:tc>
          <w:tcPr>
            <w:tcW w:w="6384" w:type="dxa"/>
            <w:tcBorders>
              <w:top w:val="nil"/>
              <w:left w:val="nil"/>
              <w:bottom w:val="nil"/>
              <w:right w:val="nil"/>
            </w:tcBorders>
            <w:tcMar>
              <w:top w:w="0" w:type="dxa"/>
              <w:left w:w="62" w:type="dxa"/>
              <w:bottom w:w="0" w:type="dxa"/>
              <w:right w:w="62" w:type="dxa"/>
            </w:tcMar>
          </w:tcPr>
          <w:p w:rsidR="00000000" w:rsidRPr="001D0B49" w:rsidP="001D0B49">
            <w:pPr>
              <w:pStyle w:val="ListBullet"/>
            </w:pPr>
            <w:r w:rsidRPr="001D0B49">
              <w:t>variations to the work schedule</w:t>
            </w:r>
          </w:p>
          <w:p w:rsidR="00000000" w:rsidRPr="001D0B49" w:rsidP="001D0B49">
            <w:pPr>
              <w:pStyle w:val="ListBullet"/>
            </w:pPr>
            <w:r w:rsidRPr="001D0B49">
              <w:t>variations to the work scope</w:t>
            </w:r>
          </w:p>
          <w:p w:rsidR="00000000" w:rsidRPr="001D0B49" w:rsidP="001D0B49">
            <w:pPr>
              <w:pStyle w:val="ListBullet"/>
            </w:pPr>
            <w:r w:rsidRPr="001D0B49">
              <w:t>issues with the public or site personnel</w:t>
            </w:r>
          </w:p>
          <w:p w:rsidR="00000000" w:rsidRPr="001D0B49" w:rsidP="001D0B49">
            <w:pPr>
              <w:pStyle w:val="ListBullet"/>
            </w:pPr>
            <w:r w:rsidRPr="001D0B49">
              <w:t>failure of equipment</w:t>
            </w:r>
          </w:p>
          <w:p w:rsidR="00000000" w:rsidRPr="001D0B49" w:rsidP="001D0B49">
            <w:pPr>
              <w:pStyle w:val="ListBullet"/>
            </w:pPr>
            <w:r w:rsidRPr="001D0B49">
              <w:t>inappropriate/incomplete permit or work instructions</w:t>
            </w:r>
          </w:p>
        </w:tc>
      </w:tr>
    </w:tbl>
    <w:p w:rsidR="00000000" w:rsidRPr="001D0B49" w:rsidP="001D0B49">
      <w:pPr>
        <w:pStyle w:val="BodyText"/>
      </w:pPr>
    </w:p>
    <w:p w:rsidR="00000000" w:rsidRPr="001D0B49" w:rsidP="001D0B49">
      <w:pPr>
        <w:pStyle w:val="AllowPageBreak"/>
      </w:pPr>
    </w:p>
    <w:p w:rsidR="00000000" w:rsidRPr="001D0B49" w:rsidP="001D0B49">
      <w:pPr>
        <w:pStyle w:val="Heading1"/>
      </w:pPr>
      <w:bookmarkStart w:id="8" w:name="O_941903"/>
      <w:bookmarkEnd w:id="8"/>
      <w:r w:rsidRPr="001D0B49">
        <w:t>Unit Mapping Information</w:t>
      </w:r>
    </w:p>
    <w:p w:rsidR="00000000" w:rsidRPr="001D0B49" w:rsidP="00A42BF8">
      <w:pPr>
        <w:pStyle w:val="BodyText"/>
      </w:pPr>
      <w:r w:rsidRPr="001D0B49">
        <w:t xml:space="preserve">Release 1. Supersedes and is equivalent to MEM18098A Prepare to perform work associated with fuel system installation and servicing </w:t>
      </w:r>
    </w:p>
    <w:p w:rsidR="00000000" w:rsidRPr="001D0B49" w:rsidP="001D0B49">
      <w:pPr>
        <w:pStyle w:val="Heading1"/>
      </w:pPr>
      <w:bookmarkStart w:id="9" w:name="O_941896"/>
      <w:bookmarkEnd w:id="9"/>
      <w:r w:rsidRPr="001D0B49">
        <w:t>Links</w:t>
      </w:r>
    </w:p>
    <w:p w:rsidR="00000000" w:rsidRPr="001D0B49" w:rsidP="00A42BF8">
      <w:pPr>
        <w:pStyle w:val="BodyText"/>
      </w:pPr>
      <w:r w:rsidRPr="001D0B4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B193E">
        <w:rPr>
          <w:rStyle w:val="Hyperlink"/>
        </w:rPr>
        <w:t>https://vetnet.gov.au/Pages/TrainingDocs.aspx?q=b7050d37-5fd0-4740-8f7d-3b7a49c10bb2</w:t>
      </w:r>
      <w:r>
        <w:fldChar w:fldCharType="end"/>
      </w:r>
    </w:p>
    <w:p w:rsidR="00000000" w:rsidRPr="001D0B49" w:rsidP="00A42BF8">
      <w:pPr>
        <w:pStyle w:val="BodyText"/>
        <w:sectPr w:rsidSect="001D0B49">
          <w:headerReference w:type="default" r:id="rId10"/>
          <w:footerReference w:type="default" r:id="rId11"/>
          <w:pgSz w:w="11908" w:h="16833"/>
          <w:pgMar w:top="1702" w:right="1418" w:bottom="1702" w:left="1418" w:header="992" w:footer="992" w:gutter="0"/>
          <w:cols w:space="720"/>
          <w:noEndnote/>
          <w:docGrid w:linePitch="299"/>
        </w:sectPr>
      </w:pPr>
    </w:p>
    <w:p w:rsidR="00000000" w:rsidRPr="001D0B49" w:rsidP="001D0B49">
      <w:pPr>
        <w:pStyle w:val="SuperHeading"/>
      </w:pPr>
      <w:r w:rsidRPr="001D0B49">
        <w:t>Assessment Requirements for MEM18098 Prepare to perform work as</w:t>
      </w:r>
      <w:r w:rsidRPr="001D0B49">
        <w:t>sociated with fuel system installation and servicing</w:t>
      </w:r>
    </w:p>
    <w:p w:rsidR="00000000" w:rsidRPr="001D0B49" w:rsidP="001D0B49">
      <w:pPr>
        <w:pStyle w:val="Heading1"/>
      </w:pPr>
      <w:bookmarkStart w:id="10" w:name="O_941898"/>
      <w:bookmarkEnd w:id="10"/>
      <w:r w:rsidRPr="001D0B49">
        <w:t>Modification History</w:t>
      </w:r>
    </w:p>
    <w:p w:rsidR="00000000" w:rsidRPr="001D0B49" w:rsidP="00A42BF8">
      <w:pPr>
        <w:pStyle w:val="BodyText"/>
      </w:pPr>
      <w:r w:rsidRPr="001D0B49">
        <w:t xml:space="preserve">Release 1. Supersedes and is equivalent to MEM18098A Prepare to perform work associated with fuel system installation and servicing </w:t>
      </w:r>
    </w:p>
    <w:p w:rsidR="00000000" w:rsidRPr="001D0B49" w:rsidP="001D0B49">
      <w:pPr>
        <w:pStyle w:val="Heading1"/>
      </w:pPr>
      <w:bookmarkStart w:id="11" w:name="O_941901"/>
      <w:bookmarkEnd w:id="11"/>
      <w:r w:rsidRPr="001D0B49">
        <w:t>Performance Evid</w:t>
      </w:r>
      <w:r w:rsidRPr="001D0B49">
        <w:t>ence</w:t>
      </w:r>
    </w:p>
    <w:p w:rsidR="00000000" w:rsidRPr="001D0B49" w:rsidP="00A42BF8">
      <w:pPr>
        <w:pStyle w:val="BodyText"/>
      </w:pPr>
      <w:r w:rsidRPr="001D0B49">
        <w:t>Evidence required to demonstrate competence in this unit must be relevant to and satisfy the requirements of the elements and performance criteria on at least two (2) occasions and include:</w:t>
      </w:r>
    </w:p>
    <w:p w:rsidR="00000000" w:rsidRPr="001D0B49" w:rsidP="001D0B49">
      <w:pPr>
        <w:pStyle w:val="ListBullet"/>
      </w:pPr>
      <w:r w:rsidRPr="001D0B49">
        <w:t>following work instructions, standard operating procedures (</w:t>
      </w:r>
      <w:r w:rsidRPr="001D0B49">
        <w:t xml:space="preserve">SOPs) and safe work practices </w:t>
      </w:r>
    </w:p>
    <w:p w:rsidR="00000000" w:rsidRPr="001D0B49" w:rsidP="001D0B49">
      <w:pPr>
        <w:pStyle w:val="ListBullet"/>
      </w:pPr>
      <w:r w:rsidRPr="001D0B49">
        <w:t>obtaining relevant work permits and other work documents required for the job</w:t>
      </w:r>
    </w:p>
    <w:p w:rsidR="00000000" w:rsidRPr="001D0B49" w:rsidP="001D0B49">
      <w:pPr>
        <w:pStyle w:val="ListBullet"/>
      </w:pPr>
      <w:r w:rsidRPr="001D0B49">
        <w:t>identifying and complying with emergency and safety procedures relevant to the site</w:t>
      </w:r>
    </w:p>
    <w:p w:rsidR="00000000" w:rsidRPr="001D0B49" w:rsidP="001D0B49">
      <w:pPr>
        <w:pStyle w:val="ListBullet"/>
      </w:pPr>
      <w:r w:rsidRPr="001D0B49">
        <w:t>identifying types of fuel and their associated hazards</w:t>
      </w:r>
    </w:p>
    <w:p w:rsidR="00000000" w:rsidRPr="001D0B49" w:rsidP="001D0B49">
      <w:pPr>
        <w:pStyle w:val="ListBullet"/>
      </w:pPr>
      <w:r w:rsidRPr="001D0B49">
        <w:t>identify</w:t>
      </w:r>
      <w:r w:rsidRPr="001D0B49">
        <w:t>ing fuel delivery systems and their associated hazards, including pressure, suction, flammability, explosive potential, toxicity and static electricity</w:t>
      </w:r>
    </w:p>
    <w:p w:rsidR="00000000" w:rsidRPr="001D0B49" w:rsidP="001D0B49">
      <w:pPr>
        <w:pStyle w:val="ListBullet"/>
      </w:pPr>
      <w:r w:rsidRPr="001D0B49">
        <w:t>determining appropriate control measures using hierarchy of control and identifying support and assistan</w:t>
      </w:r>
      <w:r w:rsidRPr="001D0B49">
        <w:t>ce requirements and establishing plan for the performance of work</w:t>
      </w:r>
    </w:p>
    <w:p w:rsidR="00000000" w:rsidRPr="001D0B49" w:rsidP="001D0B49">
      <w:pPr>
        <w:pStyle w:val="ListBullet"/>
      </w:pPr>
      <w:r w:rsidRPr="001D0B49">
        <w:t>applying any state/territory licensing, work health and safety (WHS) and environmental legislation, standards and industry codes of practice</w:t>
      </w:r>
    </w:p>
    <w:p w:rsidR="00000000" w:rsidRPr="001D0B49" w:rsidP="001D0B49">
      <w:pPr>
        <w:pStyle w:val="ListBullet"/>
      </w:pPr>
      <w:r w:rsidRPr="001D0B49">
        <w:t>relating to people from a range of social, cultur</w:t>
      </w:r>
      <w:r w:rsidRPr="001D0B49">
        <w:t>al and ethnic backgrounds and of varying physical and mental abilities.</w:t>
      </w:r>
    </w:p>
    <w:p w:rsidR="00000000" w:rsidRPr="001D0B49" w:rsidP="001D0B49">
      <w:pPr>
        <w:pStyle w:val="AllowPageBreak"/>
      </w:pPr>
    </w:p>
    <w:p w:rsidR="00000000" w:rsidRPr="001D0B49" w:rsidP="001D0B49">
      <w:pPr>
        <w:pStyle w:val="Heading1"/>
      </w:pPr>
      <w:bookmarkStart w:id="12" w:name="O_941900"/>
      <w:bookmarkEnd w:id="12"/>
      <w:r w:rsidRPr="001D0B49">
        <w:t>Knowledge Evidence</w:t>
      </w:r>
    </w:p>
    <w:p w:rsidR="00000000" w:rsidRPr="001D0B49" w:rsidP="00A42BF8">
      <w:pPr>
        <w:pStyle w:val="BodyText"/>
      </w:pPr>
      <w:r w:rsidRPr="001D0B49">
        <w:t>Evidence required to demonstrate the required knowledge for this unit must be relevant to and satisfy the requirements of the elements and performance criteria and include knowledge of:</w:t>
      </w:r>
    </w:p>
    <w:p w:rsidR="00000000" w:rsidRPr="001D0B49" w:rsidP="001D0B49">
      <w:pPr>
        <w:pStyle w:val="ListBullet"/>
      </w:pPr>
      <w:r w:rsidRPr="001D0B49">
        <w:t>safe work practices and procedures and use of personal protective equ</w:t>
      </w:r>
      <w:r w:rsidRPr="001D0B49">
        <w:t>ipment (PPE)</w:t>
      </w:r>
    </w:p>
    <w:p w:rsidR="00000000" w:rsidRPr="001D0B49" w:rsidP="001D0B49">
      <w:pPr>
        <w:pStyle w:val="ListBullet"/>
      </w:pPr>
      <w:r w:rsidRPr="001D0B49">
        <w:t>types of fuels and their associated hazards</w:t>
      </w:r>
    </w:p>
    <w:p w:rsidR="00000000" w:rsidRPr="001D0B49" w:rsidP="001D0B49">
      <w:pPr>
        <w:pStyle w:val="ListBullet"/>
      </w:pPr>
      <w:r w:rsidRPr="001D0B49">
        <w:t>fuel delivery systems and associated hazards, including pressure, suction, flammability, explosive potential, toxicity and static electricity</w:t>
      </w:r>
    </w:p>
    <w:p w:rsidR="00000000" w:rsidRPr="001D0B49" w:rsidP="001D0B49">
      <w:pPr>
        <w:pStyle w:val="ListBullet"/>
      </w:pPr>
      <w:r w:rsidRPr="001D0B49">
        <w:t xml:space="preserve">dangerous goods classification and labelling </w:t>
      </w:r>
    </w:p>
    <w:p w:rsidR="00000000" w:rsidRPr="001D0B49" w:rsidP="001D0B49">
      <w:pPr>
        <w:pStyle w:val="ListBullet"/>
      </w:pPr>
      <w:r w:rsidRPr="001D0B49">
        <w:t>storage and</w:t>
      </w:r>
      <w:r w:rsidRPr="001D0B49">
        <w:t xml:space="preserve"> handling of dangerous goods</w:t>
      </w:r>
    </w:p>
    <w:p w:rsidR="00000000" w:rsidRPr="001D0B49" w:rsidP="001D0B49">
      <w:pPr>
        <w:pStyle w:val="ListBullet"/>
      </w:pPr>
      <w:r w:rsidRPr="001D0B49">
        <w:t>suction/pressure systems</w:t>
      </w:r>
    </w:p>
    <w:p w:rsidR="00000000" w:rsidRPr="001D0B49" w:rsidP="001D0B49">
      <w:pPr>
        <w:pStyle w:val="ListBullet"/>
      </w:pPr>
      <w:r w:rsidRPr="001D0B49">
        <w:t>first stage vapour recovery systems</w:t>
      </w:r>
    </w:p>
    <w:p w:rsidR="00000000" w:rsidRPr="001D0B49" w:rsidP="001D0B49">
      <w:pPr>
        <w:pStyle w:val="ListBullet"/>
      </w:pPr>
      <w:r w:rsidRPr="001D0B49">
        <w:t>second stage vapour recovery systems</w:t>
      </w:r>
    </w:p>
    <w:p w:rsidR="00000000" w:rsidRPr="001D0B49" w:rsidP="001D0B49">
      <w:pPr>
        <w:pStyle w:val="ListBullet"/>
      </w:pPr>
      <w:r w:rsidRPr="001D0B49">
        <w:t>pumps and pumping principles and problems</w:t>
      </w:r>
    </w:p>
    <w:p w:rsidR="00000000" w:rsidRPr="001D0B49" w:rsidP="001D0B49">
      <w:pPr>
        <w:pStyle w:val="ListBullet"/>
      </w:pPr>
      <w:r w:rsidRPr="001D0B49">
        <w:t>fuel dispensing and metering systems</w:t>
      </w:r>
    </w:p>
    <w:p w:rsidR="00000000" w:rsidRPr="001D0B49" w:rsidP="001D0B49">
      <w:pPr>
        <w:pStyle w:val="ListBullet"/>
      </w:pPr>
      <w:r w:rsidRPr="001D0B49">
        <w:t>interpretation of permits, site maps and hazard ma</w:t>
      </w:r>
      <w:r w:rsidRPr="001D0B49">
        <w:t>ps</w:t>
      </w:r>
    </w:p>
    <w:p w:rsidR="00000000" w:rsidRPr="001D0B49" w:rsidP="001D0B49">
      <w:pPr>
        <w:pStyle w:val="ListBullet"/>
      </w:pPr>
      <w:r w:rsidRPr="001D0B49">
        <w:t>regulatory requirements, including licensing, WHS and environmental regulations.</w:t>
      </w:r>
    </w:p>
    <w:p w:rsidR="00000000" w:rsidRPr="001D0B49" w:rsidP="001D0B49">
      <w:pPr>
        <w:pStyle w:val="AllowPageBreak"/>
      </w:pPr>
    </w:p>
    <w:p w:rsidR="00000000" w:rsidRPr="001D0B49" w:rsidP="001D0B49">
      <w:pPr>
        <w:pStyle w:val="Heading1"/>
      </w:pPr>
      <w:bookmarkStart w:id="13" w:name="O_941899"/>
      <w:bookmarkEnd w:id="13"/>
      <w:r w:rsidRPr="001D0B49">
        <w:t>Assessment Conditions</w:t>
      </w:r>
    </w:p>
    <w:p w:rsidR="00000000" w:rsidRPr="001D0B49" w:rsidP="001D0B49">
      <w:pPr>
        <w:pStyle w:val="ListBullet"/>
      </w:pPr>
      <w:r w:rsidRPr="001D0B49">
        <w:t>Assessors must:</w:t>
      </w:r>
    </w:p>
    <w:p w:rsidR="00000000" w:rsidRPr="001D0B49" w:rsidP="001D0B49">
      <w:pPr>
        <w:pStyle w:val="ListBullet2"/>
      </w:pPr>
      <w:r w:rsidRPr="001D0B49">
        <w:t>have vocational competency in preparing to perform work associated with fuel system installation and servicing at l</w:t>
      </w:r>
      <w:r w:rsidRPr="001D0B49">
        <w:t>east to the level being assessed with relevant industry knowledge and experience</w:t>
      </w:r>
    </w:p>
    <w:p w:rsidR="00000000" w:rsidRPr="001D0B49" w:rsidP="001D0B49">
      <w:pPr>
        <w:pStyle w:val="ListBullet2"/>
      </w:pPr>
      <w:r w:rsidRPr="001D0B49">
        <w:t xml:space="preserve">satisfy the assessor requirements in the </w:t>
      </w:r>
      <w:r w:rsidRPr="001D0B49">
        <w:rPr>
          <w:rStyle w:val="Emphasis"/>
        </w:rPr>
        <w:t xml:space="preserve">Standards for Registered Training Organisations 2015 </w:t>
      </w:r>
      <w:r w:rsidRPr="001D0B49">
        <w:t>or its replacement</w:t>
      </w:r>
      <w:r w:rsidRPr="001D0B49">
        <w:rPr>
          <w:rStyle w:val="Emphasis"/>
        </w:rPr>
        <w:t xml:space="preserve"> </w:t>
      </w:r>
      <w:r w:rsidRPr="001D0B49">
        <w:t xml:space="preserve">and comply with the </w:t>
      </w:r>
      <w:r w:rsidRPr="001D0B49">
        <w:rPr>
          <w:rStyle w:val="Emphasis"/>
        </w:rPr>
        <w:t xml:space="preserve">National Vocational Education and Training Regulator Act 2011, </w:t>
      </w:r>
      <w:r w:rsidRPr="001D0B49">
        <w:t>its replacement</w:t>
      </w:r>
      <w:r w:rsidRPr="001D0B49">
        <w:rPr>
          <w:rStyle w:val="Emphasis"/>
        </w:rPr>
        <w:t xml:space="preserve"> </w:t>
      </w:r>
      <w:r w:rsidRPr="001D0B49">
        <w:t>or equivalent legislation covering VET regulation in a non-referring state/territory as the case requires</w:t>
      </w:r>
    </w:p>
    <w:p w:rsidR="00000000" w:rsidRPr="001D0B49" w:rsidP="001D0B49">
      <w:pPr>
        <w:pStyle w:val="ListBullet"/>
      </w:pPr>
      <w:r w:rsidRPr="001D0B49">
        <w:t>Where possible assessment must occur in operational workplace situatio</w:t>
      </w:r>
      <w:r w:rsidRPr="001D0B49">
        <w:t>ns. Where this is not possible or where personal safety or environmental damage are limiting factors, assessment must occur in a sufficiently rigorous simulated environment that reflects realistic operational workplace conditions. This must cover all aspec</w:t>
      </w:r>
      <w:r w:rsidRPr="001D0B49">
        <w:t>ts of workplace performance, including environment, task skills, task management skills, contingency management skills and job role environment skills</w:t>
      </w:r>
    </w:p>
    <w:p w:rsidR="00000000" w:rsidRPr="001D0B49" w:rsidP="001D0B49">
      <w:pPr>
        <w:pStyle w:val="ListBullet"/>
      </w:pPr>
      <w:r w:rsidRPr="001D0B49">
        <w:t>Conditions for assessment must include access to all tools, equipment, materials and documentation requir</w:t>
      </w:r>
      <w:r w:rsidRPr="001D0B49">
        <w:t>ed, including relevant workplace procedures, product and manufacturing specifications</w:t>
      </w:r>
    </w:p>
    <w:p w:rsidR="00000000" w:rsidRPr="001D0B49" w:rsidP="001D0B49">
      <w:pPr>
        <w:pStyle w:val="ListBullet"/>
      </w:pPr>
      <w:r w:rsidRPr="001D0B49">
        <w:t>Assessment processes and techniques must be appropriate to the language, literacy and numeracy requirements of the work being performed and the needs of the candidate.</w:t>
      </w:r>
    </w:p>
    <w:p w:rsidR="00000000" w:rsidRPr="001D0B49" w:rsidP="001D0B49">
      <w:pPr>
        <w:pStyle w:val="AllowPageBreak"/>
      </w:pPr>
    </w:p>
    <w:p w:rsidR="00000000" w:rsidRPr="001D0B49" w:rsidP="001D0B49">
      <w:pPr>
        <w:pStyle w:val="Heading1"/>
      </w:pPr>
      <w:bookmarkStart w:id="14" w:name="O_941897"/>
      <w:bookmarkEnd w:id="14"/>
      <w:r w:rsidRPr="001D0B49">
        <w:t>Links</w:t>
      </w:r>
    </w:p>
    <w:p w:rsidR="00000000" w:rsidRPr="001D0B49" w:rsidP="00A42BF8">
      <w:pPr>
        <w:pStyle w:val="BodyText"/>
      </w:pPr>
      <w:r w:rsidRPr="001D0B4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B193E">
        <w:rPr>
          <w:rStyle w:val="Hyperlink"/>
        </w:rPr>
        <w:t>https://vetnet.gov.au/Pages/TrainingDocs.aspx?q=b7050d37-5fd0-4740-8f7d-3b7a49c10bb2</w:t>
      </w:r>
      <w:r>
        <w:fldChar w:fldCharType="end"/>
      </w:r>
    </w:p>
    <w:p w:rsidR="00000000" w:rsidRPr="001D0B49" w:rsidP="001D0B49"/>
    <w:sectPr w:rsidSect="001D0B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B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B49" w:rsidRPr="00A42BF8" w:rsidP="00A42B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B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BF8" w:rsidP="001D0B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42BF8" w:rsidP="001D0B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42BF8" w:rsidP="001D0B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B49" w:rsidP="001D0B49">
    <w:pPr>
      <w:pStyle w:val="Footer"/>
      <w:framePr w:wrap="around"/>
    </w:pPr>
    <w:r>
      <w:fldChar w:fldCharType="begin"/>
    </w:r>
    <w:r>
      <w:instrText xml:space="preserve"> DOCPROPERTY  Subject  \* MERGEFORMAT </w:instrText>
    </w:r>
    <w:r>
      <w:fldChar w:fldCharType="separate"/>
    </w:r>
    <w:r w:rsidR="00A42BF8">
      <w:t>Approved</w:t>
    </w:r>
    <w:r w:rsidR="00A42BF8">
      <w:fldChar w:fldCharType="end"/>
    </w:r>
    <w:r>
      <w:tab/>
      <w:t xml:space="preserve">Page </w:t>
    </w:r>
    <w:r>
      <w:fldChar w:fldCharType="begin"/>
    </w:r>
    <w:r>
      <w:instrText xml:space="preserve"> PAGE  \* Arabic  \* MERGEFORMAT </w:instrText>
    </w:r>
    <w:r>
      <w:fldChar w:fldCharType="separate"/>
    </w:r>
    <w:r w:rsidR="00A42BF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2BF8">
      <w:rPr>
        <w:noProof/>
      </w:rPr>
      <w:t>6</w:t>
    </w:r>
    <w:r>
      <w:rPr>
        <w:noProof/>
      </w:rPr>
      <w:fldChar w:fldCharType="end"/>
    </w:r>
  </w:p>
  <w:p w:rsidR="001D0B49" w:rsidP="001D0B49">
    <w:pPr>
      <w:pStyle w:val="Footer"/>
      <w:framePr w:wrap="around"/>
    </w:pPr>
    <w:r>
      <w:t xml:space="preserve">© Commonwealth of Australia, </w:t>
    </w:r>
    <w:r>
      <w:fldChar w:fldCharType="begin"/>
    </w:r>
    <w:r>
      <w:instrText xml:space="preserve"> DATE  \@ "yyyy"  \* MERGEFORMAT </w:instrText>
    </w:r>
    <w:r>
      <w:fldChar w:fldCharType="separate"/>
    </w:r>
    <w:r w:rsidR="00A42BF8">
      <w:rPr>
        <w:noProof/>
      </w:rPr>
      <w:t>2025</w:t>
    </w:r>
    <w:r>
      <w:fldChar w:fldCharType="end"/>
    </w:r>
    <w:r>
      <w:tab/>
    </w:r>
    <w:r>
      <w:fldChar w:fldCharType="begin"/>
    </w:r>
    <w:r>
      <w:instrText xml:space="preserve"> DOCPROPERTY  Author  \* MERGEFORMAT </w:instrText>
    </w:r>
    <w:r>
      <w:fldChar w:fldCharType="separate"/>
    </w:r>
    <w:r w:rsidR="00A42BF8">
      <w:t>Manufacturing Industry Skills Alliance</w:t>
    </w:r>
    <w:r w:rsidR="00A42BF8">
      <w:fldChar w:fldCharType="end"/>
    </w:r>
  </w:p>
  <w:p w:rsidR="001D0B49" w:rsidP="001D0B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B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B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0B49" w:rsidRPr="00A42BF8" w:rsidP="00A42B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B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BF8" w:rsidRPr="002D2AF8" w:rsidP="001D0B49">
    <w:pPr>
      <w:pStyle w:val="Header"/>
      <w:framePr w:wrap="around"/>
    </w:pPr>
    <w:r>
      <w:fldChar w:fldCharType="begin"/>
    </w:r>
    <w:r>
      <w:instrText xml:space="preserve"> TITLE   \* MERGEFORMAT </w:instrText>
    </w:r>
    <w:r>
      <w:fldChar w:fldCharType="separate"/>
    </w:r>
    <w:r>
      <w:t>MEM18098 Prepare to perform work associated with fuel system installation and servicing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42BF8" w:rsidP="001D0B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B49" w:rsidRPr="002D2AF8" w:rsidP="001D0B49">
    <w:pPr>
      <w:pStyle w:val="Header"/>
      <w:framePr w:wrap="around"/>
    </w:pPr>
    <w:r>
      <w:fldChar w:fldCharType="begin"/>
    </w:r>
    <w:r>
      <w:instrText xml:space="preserve"> TITLE   \* MERGEFORMAT </w:instrText>
    </w:r>
    <w:r>
      <w:fldChar w:fldCharType="separate"/>
    </w:r>
    <w:r w:rsidR="00A42BF8">
      <w:t>MEM18098 Prepare to perform work associated with fuel system installation and servicing</w:t>
    </w:r>
    <w:r w:rsidR="00A42BF8">
      <w:fldChar w:fldCharType="end"/>
    </w:r>
    <w:r>
      <w:tab/>
      <w:t xml:space="preserve">Date this document was generated: </w:t>
    </w:r>
    <w:r>
      <w:fldChar w:fldCharType="begin"/>
    </w:r>
    <w:r>
      <w:instrText xml:space="preserve"> CREATEDATE  \@ "d MMMM yyyy"  \* MERGEFORMAT </w:instrText>
    </w:r>
    <w:r>
      <w:fldChar w:fldCharType="separate"/>
    </w:r>
    <w:r w:rsidR="00A42BF8">
      <w:rPr>
        <w:noProof/>
      </w:rPr>
      <w:t>1 March 2025</w:t>
    </w:r>
    <w:r>
      <w:fldChar w:fldCharType="end"/>
    </w:r>
  </w:p>
  <w:p w:rsidR="001D0B49" w:rsidP="001D0B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AE7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E4C2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B422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B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0B49"/>
    <w:pPr>
      <w:spacing w:before="360" w:after="60"/>
      <w:outlineLvl w:val="0"/>
    </w:pPr>
    <w:rPr>
      <w:sz w:val="32"/>
    </w:rPr>
  </w:style>
  <w:style w:type="paragraph" w:styleId="Heading2">
    <w:name w:val="heading 2"/>
    <w:basedOn w:val="HeadingBase"/>
    <w:next w:val="BodyText"/>
    <w:link w:val="Heading2Char"/>
    <w:qFormat/>
    <w:rsid w:val="001D0B49"/>
    <w:pPr>
      <w:keepLines/>
      <w:spacing w:before="240" w:after="120"/>
      <w:outlineLvl w:val="1"/>
    </w:pPr>
    <w:rPr>
      <w:sz w:val="28"/>
      <w:szCs w:val="40"/>
    </w:rPr>
  </w:style>
  <w:style w:type="paragraph" w:styleId="Heading3">
    <w:name w:val="heading 3"/>
    <w:basedOn w:val="HeadingBase"/>
    <w:next w:val="BodyText"/>
    <w:link w:val="Heading3Char"/>
    <w:qFormat/>
    <w:rsid w:val="001D0B49"/>
    <w:pPr>
      <w:spacing w:before="180" w:after="120"/>
      <w:outlineLvl w:val="2"/>
    </w:pPr>
    <w:rPr>
      <w:spacing w:val="-10"/>
      <w:kern w:val="32"/>
    </w:rPr>
  </w:style>
  <w:style w:type="paragraph" w:styleId="Heading4">
    <w:name w:val="heading 4"/>
    <w:basedOn w:val="HeadingBase"/>
    <w:next w:val="BodyText"/>
    <w:link w:val="Heading4Char"/>
    <w:qFormat/>
    <w:rsid w:val="001D0B49"/>
    <w:pPr>
      <w:spacing w:before="160" w:after="120"/>
      <w:outlineLvl w:val="3"/>
    </w:pPr>
    <w:rPr>
      <w:sz w:val="22"/>
    </w:rPr>
  </w:style>
  <w:style w:type="paragraph" w:styleId="Heading5">
    <w:name w:val="heading 5"/>
    <w:basedOn w:val="HeadingBase"/>
    <w:next w:val="Normal"/>
    <w:link w:val="Heading5Char"/>
    <w:qFormat/>
    <w:rsid w:val="001D0B49"/>
    <w:pPr>
      <w:spacing w:before="80"/>
      <w:outlineLvl w:val="4"/>
    </w:pPr>
    <w:rPr>
      <w:color w:val="918585"/>
      <w:sz w:val="20"/>
    </w:rPr>
  </w:style>
  <w:style w:type="paragraph" w:styleId="Heading6">
    <w:name w:val="heading 6"/>
    <w:basedOn w:val="HeadingBase"/>
    <w:next w:val="Normal"/>
    <w:link w:val="Heading6Char"/>
    <w:qFormat/>
    <w:rsid w:val="001D0B49"/>
    <w:pPr>
      <w:spacing w:before="60"/>
      <w:outlineLvl w:val="5"/>
    </w:pPr>
    <w:rPr>
      <w:color w:val="918585"/>
      <w:sz w:val="20"/>
    </w:rPr>
  </w:style>
  <w:style w:type="paragraph" w:styleId="Heading7">
    <w:name w:val="heading 7"/>
    <w:basedOn w:val="Normal"/>
    <w:next w:val="Normal"/>
    <w:link w:val="Heading7Char"/>
    <w:qFormat/>
    <w:rsid w:val="001D0B49"/>
    <w:pPr>
      <w:ind w:left="720"/>
      <w:outlineLvl w:val="6"/>
    </w:pPr>
    <w:rPr>
      <w:i/>
    </w:rPr>
  </w:style>
  <w:style w:type="paragraph" w:styleId="Heading8">
    <w:name w:val="heading 8"/>
    <w:basedOn w:val="Normal"/>
    <w:next w:val="Normal"/>
    <w:link w:val="Heading8Char"/>
    <w:qFormat/>
    <w:rsid w:val="001D0B49"/>
    <w:pPr>
      <w:ind w:left="720"/>
      <w:outlineLvl w:val="7"/>
    </w:pPr>
    <w:rPr>
      <w:i/>
    </w:rPr>
  </w:style>
  <w:style w:type="paragraph" w:styleId="Heading9">
    <w:name w:val="heading 9"/>
    <w:basedOn w:val="Normal"/>
    <w:next w:val="Normal"/>
    <w:link w:val="Heading9Char"/>
    <w:qFormat/>
    <w:rsid w:val="001D0B49"/>
    <w:pPr>
      <w:ind w:left="720"/>
      <w:outlineLvl w:val="8"/>
    </w:pPr>
    <w:rPr>
      <w:i/>
    </w:rPr>
  </w:style>
  <w:style w:type="character" w:default="1" w:styleId="DefaultParagraphFont">
    <w:name w:val="Default Paragraph Font"/>
    <w:uiPriority w:val="1"/>
    <w:unhideWhenUsed/>
    <w:rsid w:val="001D0B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B49"/>
  </w:style>
  <w:style w:type="character" w:customStyle="1" w:styleId="Heading1Char">
    <w:name w:val="Heading 1 Char"/>
    <w:basedOn w:val="DefaultParagraphFont"/>
    <w:link w:val="Heading1"/>
    <w:rsid w:val="001D0B49"/>
    <w:rPr>
      <w:rFonts w:ascii="Times New Roman" w:eastAsia="Times New Roman" w:hAnsi="Times New Roman" w:cs="Times New Roman"/>
      <w:b/>
      <w:sz w:val="32"/>
      <w:szCs w:val="20"/>
      <w:lang w:eastAsia="en-US"/>
    </w:rPr>
  </w:style>
  <w:style w:type="paragraph" w:styleId="BodyText">
    <w:name w:val="Body Text"/>
    <w:basedOn w:val="Normal"/>
    <w:link w:val="BodyTextChar"/>
    <w:rsid w:val="001D0B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0B49"/>
    <w:rPr>
      <w:rFonts w:ascii="Times New Roman" w:eastAsia="Times New Roman" w:hAnsi="Times New Roman" w:cs="Times New Roman"/>
      <w:sz w:val="24"/>
      <w:lang w:eastAsia="en-US"/>
    </w:rPr>
  </w:style>
  <w:style w:type="paragraph" w:styleId="ListBullet">
    <w:name w:val="List Bullet"/>
    <w:basedOn w:val="List"/>
    <w:rsid w:val="001D0B49"/>
    <w:pPr>
      <w:numPr>
        <w:numId w:val="12"/>
      </w:numPr>
      <w:tabs>
        <w:tab w:val="clear" w:pos="340"/>
      </w:tabs>
      <w:spacing w:before="40" w:after="40"/>
    </w:pPr>
  </w:style>
  <w:style w:type="character" w:customStyle="1" w:styleId="SpecialBold">
    <w:name w:val="Special Bold"/>
    <w:basedOn w:val="DefaultParagraphFont"/>
    <w:rsid w:val="001D0B49"/>
    <w:rPr>
      <w:b/>
      <w:spacing w:val="0"/>
    </w:rPr>
  </w:style>
  <w:style w:type="paragraph" w:styleId="ListBullet2">
    <w:name w:val="List Bullet 2"/>
    <w:basedOn w:val="List2"/>
    <w:rsid w:val="001D0B49"/>
    <w:pPr>
      <w:numPr>
        <w:numId w:val="13"/>
      </w:numPr>
      <w:tabs>
        <w:tab w:val="clear" w:pos="680"/>
      </w:tabs>
    </w:pPr>
  </w:style>
  <w:style w:type="character" w:styleId="Emphasis">
    <w:name w:val="Emphasis"/>
    <w:basedOn w:val="DefaultParagraphFont"/>
    <w:qFormat/>
    <w:rsid w:val="001D0B49"/>
    <w:rPr>
      <w:i/>
    </w:rPr>
  </w:style>
  <w:style w:type="paragraph" w:customStyle="1" w:styleId="SuperHeading">
    <w:name w:val="SuperHeading"/>
    <w:basedOn w:val="Normal"/>
    <w:rsid w:val="001D0B49"/>
    <w:pPr>
      <w:spacing w:before="240" w:after="120"/>
      <w:outlineLvl w:val="0"/>
    </w:pPr>
    <w:rPr>
      <w:rFonts w:ascii="Times New Roman" w:hAnsi="Times New Roman"/>
      <w:b/>
      <w:sz w:val="32"/>
    </w:rPr>
  </w:style>
  <w:style w:type="paragraph" w:customStyle="1" w:styleId="AllowPageBreak">
    <w:name w:val="AllowPageBreak"/>
    <w:rsid w:val="001D0B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0B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B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B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B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B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B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0B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0B49"/>
    <w:rPr>
      <w:rFonts w:ascii="Courier New" w:eastAsia="Times New Roman" w:hAnsi="Courier New" w:cs="Times New Roman"/>
      <w:i/>
      <w:szCs w:val="20"/>
      <w:lang w:eastAsia="en-US"/>
    </w:rPr>
  </w:style>
  <w:style w:type="paragraph" w:customStyle="1" w:styleId="HeadingBase">
    <w:name w:val="Heading Base"/>
    <w:rsid w:val="001D0B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B49"/>
    <w:pPr>
      <w:tabs>
        <w:tab w:val="right" w:leader="dot" w:pos="9072"/>
      </w:tabs>
      <w:ind w:left="567"/>
    </w:pPr>
    <w:rPr>
      <w:szCs w:val="22"/>
    </w:rPr>
  </w:style>
  <w:style w:type="paragraph" w:customStyle="1" w:styleId="TOCBase">
    <w:name w:val="TOC Base"/>
    <w:rsid w:val="001D0B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B49"/>
    <w:pPr>
      <w:tabs>
        <w:tab w:val="right" w:leader="dot" w:pos="9072"/>
      </w:tabs>
      <w:spacing w:before="40" w:after="40"/>
      <w:ind w:left="284"/>
    </w:pPr>
    <w:rPr>
      <w:rFonts w:ascii="Times New Roman" w:hAnsi="Times New Roman"/>
    </w:rPr>
  </w:style>
  <w:style w:type="paragraph" w:styleId="TOC1">
    <w:name w:val="toc 1"/>
    <w:basedOn w:val="TOCBase"/>
    <w:next w:val="Normal"/>
    <w:rsid w:val="001D0B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0B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B49"/>
    <w:rPr>
      <w:rFonts w:ascii="Times New Roman" w:eastAsia="Times New Roman" w:hAnsi="Times New Roman" w:cs="Times New Roman"/>
      <w:sz w:val="16"/>
      <w:lang w:eastAsia="en-US"/>
    </w:rPr>
  </w:style>
  <w:style w:type="paragraph" w:styleId="Title">
    <w:name w:val="Title"/>
    <w:basedOn w:val="HeadingBase"/>
    <w:link w:val="TitleChar"/>
    <w:qFormat/>
    <w:rsid w:val="001D0B49"/>
    <w:pPr>
      <w:spacing w:before="5040"/>
      <w:jc w:val="center"/>
    </w:pPr>
    <w:rPr>
      <w:sz w:val="48"/>
      <w:szCs w:val="72"/>
      <w:lang w:val="en-US"/>
    </w:rPr>
  </w:style>
  <w:style w:type="character" w:customStyle="1" w:styleId="TitleChar">
    <w:name w:val="Title Char"/>
    <w:basedOn w:val="DefaultParagraphFont"/>
    <w:link w:val="Title"/>
    <w:rsid w:val="001D0B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B49"/>
    <w:pPr>
      <w:tabs>
        <w:tab w:val="left" w:pos="3600"/>
        <w:tab w:val="left" w:pos="3958"/>
      </w:tabs>
    </w:pPr>
  </w:style>
  <w:style w:type="paragraph" w:styleId="List">
    <w:name w:val="List"/>
    <w:basedOn w:val="BodyText"/>
    <w:next w:val="BodyText"/>
    <w:rsid w:val="001D0B49"/>
    <w:pPr>
      <w:tabs>
        <w:tab w:val="left" w:pos="340"/>
      </w:tabs>
      <w:spacing w:before="60" w:after="60"/>
      <w:ind w:left="340" w:hanging="340"/>
    </w:pPr>
  </w:style>
  <w:style w:type="paragraph" w:customStyle="1" w:styleId="Note">
    <w:name w:val="Note"/>
    <w:basedOn w:val="BodyText"/>
    <w:rsid w:val="001D0B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B49"/>
    <w:pPr>
      <w:framePr w:wrap="auto" w:hAnchor="text" w:y="6049"/>
    </w:pPr>
    <w:rPr>
      <w:color w:val="000000"/>
      <w:sz w:val="40"/>
    </w:rPr>
  </w:style>
  <w:style w:type="paragraph" w:customStyle="1" w:styleId="TOCTitle">
    <w:name w:val="TOCTitle"/>
    <w:basedOn w:val="Heading1"/>
    <w:rsid w:val="001D0B49"/>
    <w:pPr>
      <w:spacing w:after="240"/>
      <w:jc w:val="center"/>
      <w:outlineLvl w:val="9"/>
    </w:pPr>
    <w:rPr>
      <w:caps/>
    </w:rPr>
  </w:style>
  <w:style w:type="paragraph" w:customStyle="1" w:styleId="Version">
    <w:name w:val="Version"/>
    <w:rsid w:val="001D0B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0B49"/>
    <w:pPr>
      <w:keepNext w:val="0"/>
      <w:tabs>
        <w:tab w:val="right" w:pos="4176"/>
      </w:tabs>
      <w:ind w:left="198" w:hanging="198"/>
    </w:pPr>
    <w:rPr>
      <w:rFonts w:ascii="Garamond" w:hAnsi="Garamond"/>
    </w:rPr>
  </w:style>
  <w:style w:type="paragraph" w:styleId="IndexHeading">
    <w:name w:val="index heading"/>
    <w:basedOn w:val="Normal"/>
    <w:next w:val="Index1"/>
    <w:semiHidden/>
    <w:rsid w:val="001D0B49"/>
    <w:pPr>
      <w:spacing w:before="120" w:after="120"/>
    </w:pPr>
    <w:rPr>
      <w:rFonts w:ascii="Arial" w:hAnsi="Arial"/>
      <w:b/>
      <w:color w:val="918585"/>
      <w:sz w:val="24"/>
    </w:rPr>
  </w:style>
  <w:style w:type="paragraph" w:styleId="Header">
    <w:name w:val="header"/>
    <w:basedOn w:val="Normal"/>
    <w:link w:val="HeaderChar"/>
    <w:rsid w:val="001D0B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B49"/>
    <w:rPr>
      <w:rFonts w:ascii="Times New Roman" w:eastAsia="Times New Roman" w:hAnsi="Times New Roman" w:cs="Times New Roman"/>
      <w:sz w:val="16"/>
      <w:szCs w:val="20"/>
      <w:lang w:val="en-GB" w:eastAsia="en-US"/>
    </w:rPr>
  </w:style>
  <w:style w:type="paragraph" w:customStyle="1" w:styleId="Chapter">
    <w:name w:val="Chapter"/>
    <w:basedOn w:val="Normal"/>
    <w:rsid w:val="001D0B49"/>
    <w:pPr>
      <w:spacing w:before="240"/>
    </w:pPr>
    <w:rPr>
      <w:rFonts w:ascii="Times New Roman" w:hAnsi="Times New Roman"/>
      <w:smallCaps/>
      <w:spacing w:val="80"/>
      <w:sz w:val="28"/>
    </w:rPr>
  </w:style>
  <w:style w:type="paragraph" w:customStyle="1" w:styleId="InChapter">
    <w:name w:val="InChapter"/>
    <w:basedOn w:val="Heading3"/>
    <w:rsid w:val="001D0B49"/>
    <w:pPr>
      <w:spacing w:after="240"/>
      <w:outlineLvl w:val="9"/>
    </w:pPr>
    <w:rPr>
      <w:noProof/>
    </w:rPr>
  </w:style>
  <w:style w:type="paragraph" w:styleId="Index2">
    <w:name w:val="index 2"/>
    <w:basedOn w:val="Normal"/>
    <w:next w:val="Normal"/>
    <w:semiHidden/>
    <w:rsid w:val="001D0B49"/>
    <w:pPr>
      <w:tabs>
        <w:tab w:val="right" w:pos="4176"/>
      </w:tabs>
      <w:ind w:left="568" w:hanging="284"/>
    </w:pPr>
    <w:rPr>
      <w:rFonts w:ascii="Garamond" w:hAnsi="Garamond"/>
    </w:rPr>
  </w:style>
  <w:style w:type="paragraph" w:customStyle="1" w:styleId="Byline">
    <w:name w:val="Byline"/>
    <w:rsid w:val="001D0B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B49"/>
    <w:pPr>
      <w:tabs>
        <w:tab w:val="clear" w:pos="3600"/>
        <w:tab w:val="clear" w:pos="3958"/>
      </w:tabs>
      <w:jc w:val="right"/>
    </w:pPr>
  </w:style>
  <w:style w:type="paragraph" w:styleId="Caption">
    <w:name w:val="caption"/>
    <w:basedOn w:val="BodyText"/>
    <w:next w:val="Normal"/>
    <w:qFormat/>
    <w:rsid w:val="001D0B49"/>
    <w:pPr>
      <w:framePr w:w="2268" w:hSpace="181" w:vSpace="181" w:wrap="around" w:vAnchor="text" w:hAnchor="page" w:x="1135" w:y="285" w:anchorLock="1"/>
    </w:pPr>
    <w:rPr>
      <w:i/>
    </w:rPr>
  </w:style>
  <w:style w:type="paragraph" w:customStyle="1" w:styleId="MiniTOCTitle">
    <w:name w:val="MiniTOCTitle"/>
    <w:basedOn w:val="Heading4"/>
    <w:rsid w:val="001D0B49"/>
    <w:pPr>
      <w:spacing w:before="240"/>
      <w:outlineLvl w:val="9"/>
    </w:pPr>
    <w:rPr>
      <w:noProof/>
      <w:sz w:val="24"/>
    </w:rPr>
  </w:style>
  <w:style w:type="paragraph" w:customStyle="1" w:styleId="MiniTOCItem">
    <w:name w:val="MiniTOCItem"/>
    <w:basedOn w:val="ListBullet"/>
    <w:rsid w:val="001D0B49"/>
    <w:pPr>
      <w:numPr>
        <w:numId w:val="0"/>
      </w:numPr>
      <w:tabs>
        <w:tab w:val="right" w:leader="dot" w:pos="6521"/>
      </w:tabs>
      <w:spacing w:before="0" w:after="0"/>
    </w:pPr>
  </w:style>
  <w:style w:type="paragraph" w:customStyle="1" w:styleId="TOFTitle">
    <w:name w:val="TOFTitle"/>
    <w:basedOn w:val="TOCTitle"/>
    <w:rsid w:val="001D0B49"/>
  </w:style>
  <w:style w:type="paragraph" w:styleId="TableofFigures">
    <w:name w:val="table of figures"/>
    <w:basedOn w:val="Normal"/>
    <w:next w:val="Normal"/>
    <w:semiHidden/>
    <w:rsid w:val="001D0B49"/>
    <w:pPr>
      <w:tabs>
        <w:tab w:val="right" w:leader="dot" w:pos="9072"/>
      </w:tabs>
      <w:ind w:left="970" w:hanging="403"/>
    </w:pPr>
    <w:rPr>
      <w:rFonts w:ascii="Times New Roman" w:hAnsi="Times New Roman"/>
      <w:b/>
    </w:rPr>
  </w:style>
  <w:style w:type="paragraph" w:styleId="ListNumber">
    <w:name w:val="List Number"/>
    <w:basedOn w:val="List"/>
    <w:rsid w:val="001D0B49"/>
    <w:pPr>
      <w:numPr>
        <w:numId w:val="15"/>
      </w:numPr>
      <w:tabs>
        <w:tab w:val="clear" w:pos="340"/>
      </w:tabs>
    </w:pPr>
  </w:style>
  <w:style w:type="character" w:customStyle="1" w:styleId="WingdingSymbols">
    <w:name w:val="Wingding Symbols"/>
    <w:rsid w:val="001D0B49"/>
    <w:rPr>
      <w:rFonts w:ascii="Wingdings" w:hAnsi="Wingdings"/>
    </w:rPr>
  </w:style>
  <w:style w:type="paragraph" w:customStyle="1" w:styleId="TableHeading">
    <w:name w:val="Table Heading"/>
    <w:basedOn w:val="HeadingBase"/>
    <w:rsid w:val="001D0B49"/>
    <w:pPr>
      <w:keepLines/>
      <w:pBdr>
        <w:bottom w:val="single" w:sz="6" w:space="1" w:color="918585"/>
      </w:pBdr>
      <w:spacing w:before="240"/>
    </w:pPr>
  </w:style>
  <w:style w:type="character" w:customStyle="1" w:styleId="HotSpot">
    <w:name w:val="HotSpot"/>
    <w:rsid w:val="001D0B49"/>
    <w:rPr>
      <w:color w:val="0033CC"/>
      <w:u w:val="none"/>
    </w:rPr>
  </w:style>
  <w:style w:type="paragraph" w:customStyle="1" w:styleId="BodyTextRight">
    <w:name w:val="Body Text Right"/>
    <w:basedOn w:val="BodyText"/>
    <w:rsid w:val="001D0B49"/>
    <w:pPr>
      <w:spacing w:before="0" w:after="0"/>
      <w:jc w:val="right"/>
    </w:pPr>
  </w:style>
  <w:style w:type="paragraph" w:styleId="Index3">
    <w:name w:val="index 3"/>
    <w:basedOn w:val="ListNumber2"/>
    <w:next w:val="Normal"/>
    <w:semiHidden/>
    <w:rsid w:val="001D0B49"/>
    <w:pPr>
      <w:numPr>
        <w:numId w:val="0"/>
      </w:numPr>
      <w:tabs>
        <w:tab w:val="right" w:leader="dot" w:pos="4176"/>
      </w:tabs>
    </w:pPr>
  </w:style>
  <w:style w:type="paragraph" w:styleId="ListNumber2">
    <w:name w:val="List Number 2"/>
    <w:basedOn w:val="List2"/>
    <w:rsid w:val="001D0B49"/>
    <w:pPr>
      <w:numPr>
        <w:numId w:val="10"/>
      </w:numPr>
      <w:tabs>
        <w:tab w:val="clear" w:pos="1060"/>
      </w:tabs>
    </w:pPr>
  </w:style>
  <w:style w:type="paragraph" w:customStyle="1" w:styleId="MarginNote">
    <w:name w:val="Margin Note"/>
    <w:basedOn w:val="BodyText"/>
    <w:rsid w:val="001D0B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B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B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0B49"/>
    <w:rPr>
      <w:sz w:val="32"/>
    </w:rPr>
  </w:style>
  <w:style w:type="paragraph" w:customStyle="1" w:styleId="HeadingProcedure">
    <w:name w:val="Heading Procedure"/>
    <w:basedOn w:val="HeadingBase"/>
    <w:next w:val="Normal"/>
    <w:rsid w:val="001D0B49"/>
    <w:pPr>
      <w:tabs>
        <w:tab w:val="left" w:pos="0"/>
      </w:tabs>
      <w:spacing w:before="120" w:after="60"/>
    </w:pPr>
    <w:rPr>
      <w:i/>
      <w:color w:val="918585"/>
      <w:sz w:val="22"/>
    </w:rPr>
  </w:style>
  <w:style w:type="paragraph" w:customStyle="1" w:styleId="TableBodyText">
    <w:name w:val="Table Body Text"/>
    <w:basedOn w:val="BodyText"/>
    <w:rsid w:val="001D0B49"/>
    <w:pPr>
      <w:spacing w:before="60" w:after="60"/>
    </w:pPr>
  </w:style>
  <w:style w:type="paragraph" w:styleId="ListContinue">
    <w:name w:val="List Continue"/>
    <w:basedOn w:val="List"/>
    <w:rsid w:val="001D0B49"/>
    <w:pPr>
      <w:ind w:firstLine="0"/>
    </w:pPr>
  </w:style>
  <w:style w:type="paragraph" w:customStyle="1" w:styleId="ListNote">
    <w:name w:val="List Note"/>
    <w:basedOn w:val="List"/>
    <w:rsid w:val="001D0B49"/>
    <w:pPr>
      <w:pBdr>
        <w:top w:val="single" w:sz="6" w:space="2" w:color="918585"/>
        <w:bottom w:val="single" w:sz="6" w:space="2" w:color="918585"/>
      </w:pBdr>
      <w:tabs>
        <w:tab w:val="left" w:pos="1021"/>
      </w:tabs>
      <w:ind w:firstLine="0"/>
    </w:pPr>
  </w:style>
  <w:style w:type="paragraph" w:customStyle="1" w:styleId="Warning">
    <w:name w:val="Warning"/>
    <w:basedOn w:val="BodyText"/>
    <w:rsid w:val="001D0B49"/>
    <w:pPr>
      <w:shd w:val="clear" w:color="auto" w:fill="D9D9D9"/>
      <w:tabs>
        <w:tab w:val="left" w:pos="992"/>
      </w:tabs>
      <w:ind w:left="119" w:right="119"/>
    </w:pPr>
    <w:rPr>
      <w:sz w:val="20"/>
    </w:rPr>
  </w:style>
  <w:style w:type="paragraph" w:customStyle="1" w:styleId="MarginIcons">
    <w:name w:val="Margin Icons"/>
    <w:basedOn w:val="BodyText"/>
    <w:rsid w:val="001D0B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B49"/>
    <w:rPr>
      <w:rFonts w:ascii="Courier New" w:hAnsi="Courier New"/>
    </w:rPr>
  </w:style>
  <w:style w:type="paragraph" w:customStyle="1" w:styleId="NoteBullet">
    <w:name w:val="Note Bullet"/>
    <w:basedOn w:val="Note"/>
    <w:rsid w:val="001D0B49"/>
    <w:pPr>
      <w:tabs>
        <w:tab w:val="clear" w:pos="680"/>
      </w:tabs>
      <w:spacing w:before="60" w:after="60"/>
    </w:pPr>
  </w:style>
  <w:style w:type="paragraph" w:customStyle="1" w:styleId="SubHeading2">
    <w:name w:val="SubHeading2"/>
    <w:basedOn w:val="HeadingBase"/>
    <w:rsid w:val="001D0B49"/>
    <w:pPr>
      <w:spacing w:before="240" w:after="60"/>
    </w:pPr>
    <w:rPr>
      <w:sz w:val="20"/>
    </w:rPr>
  </w:style>
  <w:style w:type="paragraph" w:customStyle="1" w:styleId="SubHeading1">
    <w:name w:val="SubHeading1"/>
    <w:basedOn w:val="HeadingBase"/>
    <w:rsid w:val="001D0B49"/>
    <w:pPr>
      <w:spacing w:before="240" w:after="60"/>
    </w:pPr>
    <w:rPr>
      <w:color w:val="918585"/>
      <w:sz w:val="22"/>
    </w:rPr>
  </w:style>
  <w:style w:type="paragraph" w:customStyle="1" w:styleId="SideHeading">
    <w:name w:val="Side Heading"/>
    <w:basedOn w:val="HeadingBase"/>
    <w:rsid w:val="001D0B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B49"/>
    <w:pPr>
      <w:tabs>
        <w:tab w:val="num" w:pos="360"/>
      </w:tabs>
    </w:pPr>
  </w:style>
  <w:style w:type="paragraph" w:styleId="PlainText">
    <w:name w:val="Plain Text"/>
    <w:basedOn w:val="Normal"/>
    <w:link w:val="PlainTextChar"/>
    <w:rsid w:val="001D0B49"/>
    <w:rPr>
      <w:sz w:val="20"/>
    </w:rPr>
  </w:style>
  <w:style w:type="character" w:customStyle="1" w:styleId="PlainTextChar">
    <w:name w:val="Plain Text Char"/>
    <w:basedOn w:val="DefaultParagraphFont"/>
    <w:link w:val="PlainText"/>
    <w:rsid w:val="001D0B49"/>
    <w:rPr>
      <w:rFonts w:ascii="Courier New" w:eastAsia="Times New Roman" w:hAnsi="Courier New" w:cs="Times New Roman"/>
      <w:sz w:val="20"/>
      <w:szCs w:val="20"/>
      <w:lang w:eastAsia="en-US"/>
    </w:rPr>
  </w:style>
  <w:style w:type="character" w:customStyle="1" w:styleId="MenuOption">
    <w:name w:val="Menu Option"/>
    <w:basedOn w:val="DefaultParagraphFont"/>
    <w:rsid w:val="001D0B49"/>
    <w:rPr>
      <w:b/>
      <w:smallCaps/>
    </w:rPr>
  </w:style>
  <w:style w:type="paragraph" w:customStyle="1" w:styleId="TableListNumber">
    <w:name w:val="Table List Number"/>
    <w:basedOn w:val="ListNumber"/>
    <w:rsid w:val="001D0B49"/>
    <w:pPr>
      <w:numPr>
        <w:numId w:val="0"/>
      </w:numPr>
    </w:pPr>
  </w:style>
  <w:style w:type="paragraph" w:styleId="TOC4">
    <w:name w:val="toc 4"/>
    <w:basedOn w:val="TOCBase"/>
    <w:next w:val="Normal"/>
    <w:semiHidden/>
    <w:rsid w:val="001D0B49"/>
    <w:pPr>
      <w:tabs>
        <w:tab w:val="right" w:leader="dot" w:pos="9071"/>
      </w:tabs>
      <w:ind w:left="1701"/>
    </w:pPr>
  </w:style>
  <w:style w:type="paragraph" w:customStyle="1" w:styleId="ListAlpha">
    <w:name w:val="List Alpha"/>
    <w:basedOn w:val="List"/>
    <w:rsid w:val="001D0B49"/>
    <w:pPr>
      <w:numPr>
        <w:numId w:val="9"/>
      </w:numPr>
    </w:pPr>
  </w:style>
  <w:style w:type="paragraph" w:customStyle="1" w:styleId="ListAlpha2">
    <w:name w:val="List Alpha 2"/>
    <w:basedOn w:val="List2"/>
    <w:rsid w:val="001D0B49"/>
    <w:pPr>
      <w:numPr>
        <w:numId w:val="8"/>
      </w:numPr>
    </w:pPr>
  </w:style>
  <w:style w:type="paragraph" w:styleId="List2">
    <w:name w:val="List 2"/>
    <w:basedOn w:val="BodyText"/>
    <w:rsid w:val="001D0B49"/>
    <w:pPr>
      <w:tabs>
        <w:tab w:val="left" w:pos="680"/>
      </w:tabs>
      <w:spacing w:before="60" w:after="60"/>
      <w:ind w:left="680" w:hanging="340"/>
    </w:pPr>
  </w:style>
  <w:style w:type="paragraph" w:styleId="List3">
    <w:name w:val="List 3"/>
    <w:basedOn w:val="BodyText"/>
    <w:rsid w:val="001D0B49"/>
    <w:pPr>
      <w:tabs>
        <w:tab w:val="left" w:pos="1021"/>
      </w:tabs>
      <w:spacing w:before="60" w:after="60"/>
      <w:ind w:left="1020" w:hanging="340"/>
    </w:pPr>
  </w:style>
  <w:style w:type="paragraph" w:styleId="List4">
    <w:name w:val="List 4"/>
    <w:basedOn w:val="BodyText"/>
    <w:rsid w:val="001D0B49"/>
    <w:pPr>
      <w:tabs>
        <w:tab w:val="left" w:pos="1361"/>
      </w:tabs>
      <w:spacing w:before="60" w:after="60"/>
      <w:ind w:left="1361" w:hanging="340"/>
    </w:pPr>
  </w:style>
  <w:style w:type="paragraph" w:styleId="List5">
    <w:name w:val="List 5"/>
    <w:basedOn w:val="BodyText"/>
    <w:rsid w:val="001D0B49"/>
    <w:pPr>
      <w:tabs>
        <w:tab w:val="left" w:pos="1701"/>
      </w:tabs>
      <w:spacing w:before="60" w:after="60"/>
      <w:ind w:left="1701" w:hanging="340"/>
    </w:pPr>
  </w:style>
  <w:style w:type="paragraph" w:styleId="ListBullet3">
    <w:name w:val="List Bullet 3"/>
    <w:basedOn w:val="List3"/>
    <w:rsid w:val="001D0B49"/>
    <w:pPr>
      <w:numPr>
        <w:numId w:val="14"/>
      </w:numPr>
      <w:tabs>
        <w:tab w:val="clear" w:pos="1021"/>
      </w:tabs>
      <w:ind w:left="1037" w:hanging="357"/>
    </w:pPr>
  </w:style>
  <w:style w:type="paragraph" w:styleId="ListBullet4">
    <w:name w:val="List Bullet 4"/>
    <w:basedOn w:val="List4"/>
    <w:rsid w:val="001D0B49"/>
    <w:pPr>
      <w:numPr>
        <w:numId w:val="3"/>
      </w:numPr>
      <w:tabs>
        <w:tab w:val="clear" w:pos="1361"/>
      </w:tabs>
    </w:pPr>
  </w:style>
  <w:style w:type="paragraph" w:styleId="ListBullet5">
    <w:name w:val="List Bullet 5"/>
    <w:basedOn w:val="List5"/>
    <w:rsid w:val="001D0B49"/>
    <w:pPr>
      <w:numPr>
        <w:numId w:val="4"/>
      </w:numPr>
    </w:pPr>
  </w:style>
  <w:style w:type="paragraph" w:styleId="ListContinue2">
    <w:name w:val="List Continue 2"/>
    <w:basedOn w:val="List2"/>
    <w:rsid w:val="001D0B49"/>
    <w:pPr>
      <w:ind w:firstLine="0"/>
    </w:pPr>
  </w:style>
  <w:style w:type="paragraph" w:styleId="ListContinue3">
    <w:name w:val="List Continue 3"/>
    <w:basedOn w:val="List3"/>
    <w:rsid w:val="001D0B49"/>
    <w:pPr>
      <w:ind w:left="1021" w:firstLine="0"/>
    </w:pPr>
  </w:style>
  <w:style w:type="paragraph" w:styleId="ListContinue4">
    <w:name w:val="List Continue 4"/>
    <w:basedOn w:val="List4"/>
    <w:rsid w:val="001D0B49"/>
    <w:pPr>
      <w:ind w:firstLine="0"/>
    </w:pPr>
  </w:style>
  <w:style w:type="paragraph" w:styleId="ListContinue5">
    <w:name w:val="List Continue 5"/>
    <w:basedOn w:val="List5"/>
    <w:rsid w:val="001D0B49"/>
    <w:pPr>
      <w:ind w:firstLine="0"/>
    </w:pPr>
  </w:style>
  <w:style w:type="paragraph" w:styleId="ListNumber3">
    <w:name w:val="List Number 3"/>
    <w:basedOn w:val="List3"/>
    <w:rsid w:val="001D0B49"/>
    <w:pPr>
      <w:numPr>
        <w:numId w:val="5"/>
      </w:numPr>
    </w:pPr>
  </w:style>
  <w:style w:type="paragraph" w:styleId="ListNumber4">
    <w:name w:val="List Number 4"/>
    <w:basedOn w:val="List4"/>
    <w:rsid w:val="001D0B49"/>
    <w:pPr>
      <w:numPr>
        <w:numId w:val="6"/>
      </w:numPr>
    </w:pPr>
  </w:style>
  <w:style w:type="paragraph" w:styleId="ListNumber5">
    <w:name w:val="List Number 5"/>
    <w:basedOn w:val="List5"/>
    <w:rsid w:val="001D0B49"/>
    <w:pPr>
      <w:numPr>
        <w:numId w:val="7"/>
      </w:numPr>
    </w:pPr>
  </w:style>
  <w:style w:type="paragraph" w:styleId="BlockText">
    <w:name w:val="Block Text"/>
    <w:basedOn w:val="Normal"/>
    <w:rsid w:val="001D0B49"/>
    <w:pPr>
      <w:spacing w:after="120"/>
      <w:ind w:left="1440" w:right="1440"/>
    </w:pPr>
  </w:style>
  <w:style w:type="character" w:customStyle="1" w:styleId="Subscript">
    <w:name w:val="Subscript"/>
    <w:basedOn w:val="DefaultParagraphFont"/>
    <w:rsid w:val="001D0B49"/>
    <w:rPr>
      <w:sz w:val="16"/>
      <w:vertAlign w:val="subscript"/>
    </w:rPr>
  </w:style>
  <w:style w:type="character" w:customStyle="1" w:styleId="Superscript">
    <w:name w:val="Superscript"/>
    <w:basedOn w:val="DefaultParagraphFont"/>
    <w:rsid w:val="001D0B49"/>
    <w:rPr>
      <w:sz w:val="16"/>
      <w:vertAlign w:val="superscript"/>
    </w:rPr>
  </w:style>
  <w:style w:type="character" w:customStyle="1" w:styleId="Symbols">
    <w:name w:val="Symbols"/>
    <w:basedOn w:val="DefaultParagraphFont"/>
    <w:rsid w:val="001D0B49"/>
    <w:rPr>
      <w:rFonts w:ascii="Symbol" w:hAnsi="Symbol"/>
    </w:rPr>
  </w:style>
  <w:style w:type="character" w:customStyle="1" w:styleId="MenuOptions">
    <w:name w:val="Menu Options"/>
    <w:basedOn w:val="DefaultParagraphFont"/>
    <w:rsid w:val="001D0B49"/>
    <w:rPr>
      <w:rFonts w:ascii="Arial Narrow" w:hAnsi="Arial Narrow"/>
      <w:smallCaps/>
    </w:rPr>
  </w:style>
  <w:style w:type="character" w:customStyle="1" w:styleId="Buttons">
    <w:name w:val="Buttons"/>
    <w:basedOn w:val="DefaultParagraphFont"/>
    <w:rsid w:val="001D0B49"/>
    <w:rPr>
      <w:b/>
    </w:rPr>
  </w:style>
  <w:style w:type="character" w:customStyle="1" w:styleId="Underlined">
    <w:name w:val="Underlined"/>
    <w:basedOn w:val="DefaultParagraphFont"/>
    <w:rsid w:val="001D0B49"/>
    <w:rPr>
      <w:u w:val="single"/>
    </w:rPr>
  </w:style>
  <w:style w:type="paragraph" w:customStyle="1" w:styleId="TableBodyTextRight">
    <w:name w:val="Table Body Text Right"/>
    <w:basedOn w:val="TableBodyText"/>
    <w:rsid w:val="001D0B49"/>
    <w:pPr>
      <w:widowControl w:val="0"/>
      <w:autoSpaceDE w:val="0"/>
      <w:autoSpaceDN w:val="0"/>
      <w:adjustRightInd w:val="0"/>
      <w:jc w:val="right"/>
    </w:pPr>
    <w:rPr>
      <w:rFonts w:cs="Arial"/>
      <w:szCs w:val="18"/>
    </w:rPr>
  </w:style>
  <w:style w:type="paragraph" w:customStyle="1" w:styleId="CopyrightText">
    <w:name w:val="Copyright Text"/>
    <w:basedOn w:val="BodyText"/>
    <w:rsid w:val="001D0B49"/>
    <w:rPr>
      <w:sz w:val="18"/>
    </w:rPr>
  </w:style>
  <w:style w:type="paragraph" w:customStyle="1" w:styleId="BodySmallRight">
    <w:name w:val="Body Small Right"/>
    <w:basedOn w:val="BodyTextRight"/>
    <w:rsid w:val="001D0B49"/>
    <w:rPr>
      <w:sz w:val="18"/>
      <w:szCs w:val="18"/>
    </w:rPr>
  </w:style>
  <w:style w:type="paragraph" w:customStyle="1" w:styleId="MarginEdition">
    <w:name w:val="Margin Edition"/>
    <w:basedOn w:val="MarginNote"/>
    <w:rsid w:val="001D0B49"/>
    <w:pPr>
      <w:spacing w:before="0" w:after="0"/>
    </w:pPr>
    <w:rPr>
      <w:rFonts w:ascii="Times New Roman" w:hAnsi="Times New Roman"/>
      <w:color w:val="999999"/>
    </w:rPr>
  </w:style>
  <w:style w:type="paragraph" w:customStyle="1" w:styleId="Spacer">
    <w:name w:val="Spacer"/>
    <w:basedOn w:val="Normal"/>
    <w:rsid w:val="001D0B49"/>
    <w:rPr>
      <w:sz w:val="2"/>
      <w:szCs w:val="2"/>
    </w:rPr>
  </w:style>
  <w:style w:type="character" w:customStyle="1" w:styleId="Small">
    <w:name w:val="Small"/>
    <w:basedOn w:val="DefaultParagraphFont"/>
    <w:rsid w:val="001D0B49"/>
    <w:rPr>
      <w:sz w:val="16"/>
    </w:rPr>
  </w:style>
  <w:style w:type="paragraph" w:customStyle="1" w:styleId="WideTable">
    <w:name w:val="Wide Table"/>
    <w:basedOn w:val="Normal"/>
    <w:rsid w:val="001D0B49"/>
    <w:pPr>
      <w:ind w:left="-1418"/>
    </w:pPr>
    <w:rPr>
      <w:sz w:val="2"/>
      <w:szCs w:val="2"/>
    </w:rPr>
  </w:style>
  <w:style w:type="character" w:styleId="PageNumber">
    <w:name w:val="page number"/>
    <w:basedOn w:val="DefaultParagraphFont"/>
    <w:rsid w:val="001D0B49"/>
  </w:style>
  <w:style w:type="paragraph" w:styleId="Quote">
    <w:name w:val="Quote"/>
    <w:basedOn w:val="Heading1"/>
    <w:link w:val="QuoteChar"/>
    <w:qFormat/>
    <w:rsid w:val="001D0B49"/>
    <w:rPr>
      <w:b w:val="0"/>
      <w:sz w:val="72"/>
      <w:szCs w:val="72"/>
      <w:lang w:val="en-NZ"/>
    </w:rPr>
  </w:style>
  <w:style w:type="character" w:customStyle="1" w:styleId="QuoteChar">
    <w:name w:val="Quote Char"/>
    <w:basedOn w:val="DefaultParagraphFont"/>
    <w:link w:val="Quote"/>
    <w:rsid w:val="001D0B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B49"/>
    <w:pPr>
      <w:pageBreakBefore/>
    </w:pPr>
  </w:style>
  <w:style w:type="paragraph" w:customStyle="1" w:styleId="Border">
    <w:name w:val="Border"/>
    <w:basedOn w:val="Normal"/>
    <w:qFormat/>
    <w:rsid w:val="001D0B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B49"/>
    <w:rPr>
      <w:b/>
      <w:bCs/>
      <w:i/>
      <w:iCs/>
      <w:color w:val="auto"/>
    </w:rPr>
  </w:style>
  <w:style w:type="paragraph" w:styleId="IntenseQuote">
    <w:name w:val="Intense Quote"/>
    <w:basedOn w:val="Normal"/>
    <w:next w:val="Normal"/>
    <w:link w:val="IntenseQuoteChar"/>
    <w:uiPriority w:val="30"/>
    <w:qFormat/>
    <w:rsid w:val="001D0B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B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0B49"/>
    <w:rPr>
      <w:smallCaps/>
      <w:color w:val="auto"/>
      <w:u w:val="single"/>
    </w:rPr>
  </w:style>
  <w:style w:type="character" w:styleId="IntenseReference">
    <w:name w:val="Intense Reference"/>
    <w:basedOn w:val="DefaultParagraphFont"/>
    <w:uiPriority w:val="32"/>
    <w:qFormat/>
    <w:rsid w:val="001D0B49"/>
    <w:rPr>
      <w:b/>
      <w:bCs/>
      <w:smallCaps/>
      <w:color w:val="auto"/>
      <w:spacing w:val="5"/>
      <w:u w:val="single"/>
    </w:rPr>
  </w:style>
  <w:style w:type="paragraph" w:customStyle="1" w:styleId="2ColumnHeading">
    <w:name w:val="2Column Heading"/>
    <w:basedOn w:val="BodyText"/>
    <w:qFormat/>
    <w:rsid w:val="001D0B49"/>
    <w:pPr>
      <w:spacing w:after="60"/>
      <w:ind w:left="-2268"/>
    </w:pPr>
    <w:rPr>
      <w:b/>
    </w:rPr>
  </w:style>
  <w:style w:type="paragraph" w:customStyle="1" w:styleId="Heading1TOC">
    <w:name w:val="Heading1 TOC"/>
    <w:basedOn w:val="Normal"/>
    <w:qFormat/>
    <w:rsid w:val="001D0B49"/>
    <w:pPr>
      <w:spacing w:before="240" w:after="120"/>
    </w:pPr>
    <w:rPr>
      <w:rFonts w:ascii="Times New Roman" w:hAnsi="Times New Roman"/>
      <w:b/>
      <w:sz w:val="32"/>
    </w:rPr>
  </w:style>
  <w:style w:type="paragraph" w:customStyle="1" w:styleId="Heading2TOC">
    <w:name w:val="Heading2 TOC"/>
    <w:basedOn w:val="Normal"/>
    <w:qFormat/>
    <w:rsid w:val="001D0B49"/>
    <w:pPr>
      <w:spacing w:before="240" w:after="60"/>
    </w:pPr>
    <w:rPr>
      <w:rFonts w:ascii="Times New Roman" w:hAnsi="Times New Roman"/>
      <w:b/>
      <w:sz w:val="28"/>
    </w:rPr>
  </w:style>
  <w:style w:type="character" w:customStyle="1" w:styleId="Underline">
    <w:name w:val="Underline"/>
    <w:basedOn w:val="DefaultParagraphFont"/>
    <w:qFormat/>
    <w:rsid w:val="001D0B49"/>
    <w:rPr>
      <w:u w:val="single"/>
    </w:rPr>
  </w:style>
  <w:style w:type="character" w:customStyle="1" w:styleId="BoldandItalics">
    <w:name w:val="Bold and Italics"/>
    <w:qFormat/>
    <w:rsid w:val="001D0B49"/>
    <w:rPr>
      <w:b/>
      <w:i/>
      <w:u w:val="none"/>
    </w:rPr>
  </w:style>
  <w:style w:type="paragraph" w:styleId="BalloonText">
    <w:name w:val="Balloon Text"/>
    <w:basedOn w:val="Normal"/>
    <w:link w:val="BalloonTextChar"/>
    <w:rsid w:val="001D0B49"/>
    <w:rPr>
      <w:rFonts w:ascii="Tahoma" w:hAnsi="Tahoma" w:cs="Tahoma"/>
      <w:sz w:val="16"/>
      <w:szCs w:val="16"/>
    </w:rPr>
  </w:style>
  <w:style w:type="character" w:customStyle="1" w:styleId="BalloonTextChar">
    <w:name w:val="Balloon Text Char"/>
    <w:basedOn w:val="DefaultParagraphFont"/>
    <w:link w:val="BalloonText"/>
    <w:rsid w:val="001D0B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0B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0B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0B49"/>
    <w:rPr>
      <w:b/>
      <w:color w:val="660033"/>
      <w:spacing w:val="0"/>
    </w:rPr>
  </w:style>
  <w:style w:type="paragraph" w:customStyle="1" w:styleId="Nameditemlist">
    <w:name w:val="Named item list"/>
    <w:basedOn w:val="BodyText"/>
    <w:qFormat/>
    <w:rsid w:val="001D0B49"/>
    <w:pPr>
      <w:tabs>
        <w:tab w:val="left" w:pos="2835"/>
      </w:tabs>
      <w:ind w:left="2835" w:hanging="2835"/>
    </w:pPr>
  </w:style>
  <w:style w:type="paragraph" w:customStyle="1" w:styleId="BodyTextnopadding">
    <w:name w:val="Body Text no padding"/>
    <w:basedOn w:val="BodyText"/>
    <w:qFormat/>
    <w:rsid w:val="001D0B49"/>
    <w:pPr>
      <w:spacing w:before="0" w:after="0"/>
    </w:pPr>
  </w:style>
  <w:style w:type="paragraph" w:customStyle="1" w:styleId="BodyTextBold">
    <w:name w:val="Body Text Bold"/>
    <w:basedOn w:val="BodyText"/>
    <w:qFormat/>
    <w:rsid w:val="001D0B49"/>
    <w:rPr>
      <w:b/>
    </w:rPr>
  </w:style>
  <w:style w:type="character" w:styleId="Hyperlink">
    <w:name w:val="Hyperlink"/>
    <w:basedOn w:val="DefaultParagraphFont"/>
    <w:uiPriority w:val="99"/>
    <w:unhideWhenUsed/>
    <w:rsid w:val="00A42B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1451</Words>
  <Characters>9099</Characters>
  <Application>Microsoft Office Word</Application>
  <DocSecurity>0</DocSecurity>
  <Lines>349</Lines>
  <Paragraphs>229</Paragraphs>
  <ScaleCrop>false</ScaleCrop>
  <Company>Author-it Software Corporation Ltd.</Company>
  <LinksUpToDate>false</LinksUpToDate>
  <CharactersWithSpaces>10321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MEM18098 Prepare to perform work associated with fuel system installation and servicing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2025-03-01T11:19:00Z</dcterms:created>
  <dcterms:modified xsi:type="dcterms:W3CDTF">2025-03-01T11:19:00Z</dcterms:modified>
</cp:coreProperties>
</file>