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185" w:rsidP="00D60185">
      <w:pPr>
        <w:pStyle w:val="Title"/>
      </w:pPr>
      <w:r>
        <w:fldChar w:fldCharType="begin"/>
      </w:r>
      <w:r>
        <w:instrText xml:space="preserve"> TITLE   \* MERGEFORMAT </w:instrText>
      </w:r>
      <w:r>
        <w:fldChar w:fldCharType="separate"/>
      </w:r>
      <w:r>
        <w:t>MEM18094 Service and repair commercial refrigeration</w:t>
      </w:r>
      <w:r>
        <w:fldChar w:fldCharType="end"/>
      </w:r>
    </w:p>
    <w:p w:rsidR="00D60185" w:rsidP="00D60185">
      <w:pPr>
        <w:pStyle w:val="Version"/>
        <w:sectPr w:rsidSect="00A75C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5CDE" w:rsidP="00A75CDE">
      <w:pPr>
        <w:pStyle w:val="SuperHeading"/>
      </w:pPr>
      <w:r w:rsidRPr="00A75CDE">
        <w:t>MEM18094 Service and repair commercial refrigeration</w:t>
      </w:r>
    </w:p>
    <w:p w:rsidR="00000000" w:rsidRPr="00A75CDE" w:rsidP="00A75CDE">
      <w:pPr>
        <w:pStyle w:val="Heading1"/>
      </w:pPr>
      <w:bookmarkStart w:id="1" w:name="O_941826"/>
      <w:bookmarkEnd w:id="1"/>
      <w:r w:rsidRPr="00A75CDE">
        <w:t>Modification History</w:t>
      </w:r>
    </w:p>
    <w:p w:rsidR="00000000" w:rsidRPr="00A75CDE" w:rsidP="00D60185">
      <w:pPr>
        <w:pStyle w:val="BodyText"/>
      </w:pPr>
      <w:r w:rsidRPr="00A75CDE">
        <w:t>Release 1. Supersedes and is equivalent to MEM18094B Service and repair commercial refrigeration</w:t>
      </w:r>
    </w:p>
    <w:p w:rsidR="00000000" w:rsidRPr="00A75CDE" w:rsidP="00A75CDE">
      <w:pPr>
        <w:pStyle w:val="Heading1"/>
      </w:pPr>
      <w:bookmarkStart w:id="2" w:name="O_941834"/>
      <w:bookmarkEnd w:id="2"/>
      <w:r w:rsidRPr="00A75CDE">
        <w:t>Application</w:t>
      </w:r>
    </w:p>
    <w:p w:rsidR="00000000" w:rsidRPr="00A75CDE" w:rsidP="00D60185">
      <w:pPr>
        <w:pStyle w:val="BodyText"/>
      </w:pPr>
      <w:r w:rsidRPr="00A75CDE">
        <w:t>This unit of competency defines the skills and knowledge required to service and repair commercial an</w:t>
      </w:r>
      <w:r w:rsidRPr="00A75CDE">
        <w:t>d supermarket equipment and components.</w:t>
      </w:r>
    </w:p>
    <w:p w:rsidR="00000000" w:rsidRPr="00A75CDE" w:rsidP="00D60185">
      <w:pPr>
        <w:pStyle w:val="BodyText"/>
      </w:pPr>
      <w:r w:rsidRPr="00A75CDE">
        <w:t>It applies to supermarket, retail, wholesale and other commercial applications and can include retrofitting alternative refrigerants in existing equipment.</w:t>
      </w:r>
    </w:p>
    <w:p w:rsidR="00000000" w:rsidRPr="00A75CDE" w:rsidP="00D60185">
      <w:pPr>
        <w:pStyle w:val="BodyText"/>
      </w:pPr>
      <w:r w:rsidRPr="00A75CDE">
        <w:t>Where the removal and replacement of components by brazing</w:t>
      </w:r>
      <w:r w:rsidRPr="00A75CDE">
        <w:t xml:space="preserve"> and/or silver soldering is required unit MEM05006 Perform brazing and/or silver soldering should also be selected. </w:t>
      </w:r>
    </w:p>
    <w:p w:rsidR="00000000" w:rsidRPr="00A75CDE" w:rsidP="00D60185">
      <w:pPr>
        <w:pStyle w:val="BodyText"/>
      </w:pPr>
      <w:r w:rsidRPr="00A75CDE">
        <w:t>Where detailed maintenance on control systems is required unit MEM18057 Maintain/service analog/digital electronic equipment should also b</w:t>
      </w:r>
      <w:r w:rsidRPr="00A75CDE">
        <w:t>e selected.</w:t>
      </w:r>
    </w:p>
    <w:p w:rsidR="00000000" w:rsidRPr="00A75CDE" w:rsidP="00D60185">
      <w:pPr>
        <w:pStyle w:val="BodyText"/>
      </w:pPr>
      <w:r w:rsidRPr="00A75CDE">
        <w:t xml:space="preserve">A Refrigerant Handling Licence must be held by any person who carries out work in relation to refrigeration and air conditioning equipment. </w:t>
      </w:r>
    </w:p>
    <w:p w:rsidR="00000000" w:rsidRPr="00A75CDE" w:rsidP="00A75CDE">
      <w:pPr>
        <w:pStyle w:val="BodyText"/>
      </w:pPr>
      <w:r w:rsidRPr="00A75CDE">
        <w:rPr>
          <w:rStyle w:val="SpecialBold"/>
        </w:rPr>
        <w:t>Band</w:t>
      </w:r>
      <w:r w:rsidRPr="00A75CDE">
        <w:t>:</w:t>
      </w:r>
      <w:r w:rsidRPr="00A75CDE">
        <w:tab/>
      </w:r>
      <w:r w:rsidRPr="00A75CDE">
        <w:rPr>
          <w:rStyle w:val="SpecialBold"/>
        </w:rPr>
        <w:t>A</w:t>
      </w:r>
    </w:p>
    <w:p w:rsidR="00000000" w:rsidRPr="00A75CDE" w:rsidP="00A75CDE">
      <w:pPr>
        <w:pStyle w:val="BodyText"/>
      </w:pPr>
      <w:r w:rsidRPr="00A75CDE">
        <w:rPr>
          <w:rStyle w:val="SpecialBold"/>
        </w:rPr>
        <w:t>Unit Weight</w:t>
      </w:r>
      <w:r w:rsidRPr="00A75CDE">
        <w:t>:</w:t>
      </w:r>
      <w:r w:rsidRPr="00A75CDE">
        <w:tab/>
      </w:r>
      <w:r w:rsidRPr="00A75CDE">
        <w:rPr>
          <w:rStyle w:val="SpecialBold"/>
        </w:rPr>
        <w:t>6</w:t>
      </w:r>
    </w:p>
    <w:p w:rsidR="00000000" w:rsidRPr="00A75CDE" w:rsidP="00A75CDE">
      <w:pPr>
        <w:pStyle w:val="AllowPageBreak"/>
      </w:pPr>
    </w:p>
    <w:p w:rsidR="00000000" w:rsidRPr="00A75CDE" w:rsidP="00A75CDE">
      <w:pPr>
        <w:pStyle w:val="Heading1"/>
      </w:pPr>
      <w:bookmarkStart w:id="3" w:name="O_941833"/>
      <w:bookmarkEnd w:id="3"/>
      <w:r w:rsidRPr="00A75CDE">
        <w:t>Pre-requisite Unit</w:t>
      </w:r>
    </w:p>
    <w:tbl>
      <w:tblPr>
        <w:tblW w:w="0" w:type="auto"/>
        <w:tblLayout w:type="fixed"/>
        <w:tblCellMar>
          <w:left w:w="62" w:type="dxa"/>
          <w:right w:w="62" w:type="dxa"/>
        </w:tblCellMar>
        <w:tblLook w:val="0000"/>
      </w:tblPr>
      <w:tblGrid>
        <w:gridCol w:w="2204"/>
        <w:gridCol w:w="6360"/>
      </w:tblGrid>
      <w:tr w:rsidTr="00A75CD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MEM09002</w:t>
            </w:r>
          </w:p>
        </w:tc>
        <w:tc>
          <w:tcPr>
            <w:tcW w:w="6360"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Interpret technical drawing</w:t>
            </w:r>
          </w:p>
        </w:tc>
      </w:tr>
      <w:tr w:rsidTr="00A75CD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MEM10002</w:t>
            </w:r>
          </w:p>
        </w:tc>
        <w:tc>
          <w:tcPr>
            <w:tcW w:w="6360"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Terminate and connect electrical wiring</w:t>
            </w:r>
          </w:p>
        </w:tc>
      </w:tr>
      <w:tr w:rsidTr="00A75CD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MEM11011</w:t>
            </w:r>
          </w:p>
        </w:tc>
        <w:tc>
          <w:tcPr>
            <w:tcW w:w="6360"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Undertake manual handling</w:t>
            </w:r>
          </w:p>
        </w:tc>
      </w:tr>
      <w:tr w:rsidTr="00A75CD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MEM12002</w:t>
            </w:r>
          </w:p>
        </w:tc>
        <w:tc>
          <w:tcPr>
            <w:tcW w:w="6360"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Perform electrical/electronic measurement</w:t>
            </w:r>
          </w:p>
        </w:tc>
      </w:tr>
      <w:tr w:rsidTr="00A75CD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MEM12023</w:t>
            </w:r>
          </w:p>
        </w:tc>
        <w:tc>
          <w:tcPr>
            <w:tcW w:w="6360"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Perform engineering measurements</w:t>
            </w:r>
          </w:p>
        </w:tc>
      </w:tr>
      <w:tr w:rsidTr="00A75CD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MEM13015</w:t>
            </w:r>
          </w:p>
        </w:tc>
        <w:tc>
          <w:tcPr>
            <w:tcW w:w="6360"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Work safely and effectively in manufacturing and engineering</w:t>
            </w:r>
          </w:p>
        </w:tc>
      </w:tr>
      <w:tr w:rsidTr="00A75CD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MEM1</w:t>
            </w:r>
            <w:r w:rsidRPr="00A75CDE">
              <w:t>6006</w:t>
            </w:r>
          </w:p>
        </w:tc>
        <w:tc>
          <w:tcPr>
            <w:tcW w:w="6360"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Organise and communicate information</w:t>
            </w:r>
          </w:p>
        </w:tc>
      </w:tr>
      <w:tr w:rsidTr="00A75CD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MEM18001</w:t>
            </w:r>
          </w:p>
        </w:tc>
        <w:tc>
          <w:tcPr>
            <w:tcW w:w="6360"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Use hand tools</w:t>
            </w:r>
          </w:p>
        </w:tc>
      </w:tr>
      <w:tr w:rsidTr="00A75CD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MEM18002</w:t>
            </w:r>
          </w:p>
        </w:tc>
        <w:tc>
          <w:tcPr>
            <w:tcW w:w="6360"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Use power tools/hand held operations</w:t>
            </w:r>
          </w:p>
        </w:tc>
      </w:tr>
      <w:tr w:rsidTr="00A75CD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MEM18049</w:t>
            </w:r>
          </w:p>
        </w:tc>
        <w:tc>
          <w:tcPr>
            <w:tcW w:w="6360"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Disconnect/reconnect fixed wired equipment up to 1000 volts a.c./1500 volts d.c.</w:t>
            </w:r>
          </w:p>
        </w:tc>
      </w:tr>
      <w:tr w:rsidTr="00A75CD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MEM18055</w:t>
            </w:r>
          </w:p>
        </w:tc>
        <w:tc>
          <w:tcPr>
            <w:tcW w:w="6360"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Dismantle, replace and assemble engineering components</w:t>
            </w:r>
          </w:p>
        </w:tc>
      </w:tr>
      <w:tr w:rsidTr="00A75CDE">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MEM18086</w:t>
            </w:r>
          </w:p>
        </w:tc>
        <w:tc>
          <w:tcPr>
            <w:tcW w:w="6360" w:type="dxa"/>
            <w:tcBorders>
              <w:top w:val="nil"/>
              <w:left w:val="nil"/>
              <w:bottom w:val="nil"/>
              <w:right w:val="nil"/>
            </w:tcBorders>
            <w:tcMar>
              <w:top w:w="0" w:type="dxa"/>
              <w:left w:w="62" w:type="dxa"/>
              <w:bottom w:w="0" w:type="dxa"/>
              <w:right w:w="62" w:type="dxa"/>
            </w:tcMar>
          </w:tcPr>
          <w:p w:rsidR="00000000" w:rsidRPr="00A75CDE" w:rsidP="00A75CDE">
            <w:pPr>
              <w:pStyle w:val="BodyText"/>
            </w:pPr>
            <w:r w:rsidRPr="00A75CDE">
              <w:t>Test, recover, evacuate and charge refrigeration systems</w:t>
            </w:r>
          </w:p>
        </w:tc>
      </w:tr>
    </w:tbl>
    <w:p w:rsidR="00000000" w:rsidRPr="00A75CDE" w:rsidP="00A75CDE">
      <w:pPr>
        <w:pStyle w:val="BodyText"/>
      </w:pPr>
    </w:p>
    <w:p w:rsidR="00000000" w:rsidRPr="00A75CDE" w:rsidP="00A75CDE">
      <w:pPr>
        <w:pStyle w:val="AllowPageBreak"/>
      </w:pPr>
    </w:p>
    <w:p w:rsidR="00000000" w:rsidRPr="00A75CDE" w:rsidP="00A75CDE">
      <w:pPr>
        <w:pStyle w:val="Heading1"/>
      </w:pPr>
      <w:bookmarkStart w:id="4" w:name="O_941832"/>
      <w:bookmarkEnd w:id="4"/>
      <w:r w:rsidRPr="00A75CDE">
        <w:t>Competency Field</w:t>
      </w:r>
    </w:p>
    <w:p w:rsidR="00000000" w:rsidRPr="00A75CDE" w:rsidP="00D60185">
      <w:pPr>
        <w:pStyle w:val="BodyText"/>
      </w:pPr>
      <w:r w:rsidRPr="00A75CDE">
        <w:t>Maintenance and diagnostics</w:t>
      </w:r>
    </w:p>
    <w:p w:rsidR="00000000" w:rsidRPr="00A75CDE" w:rsidP="00A75CDE">
      <w:pPr>
        <w:pStyle w:val="Heading1"/>
      </w:pPr>
      <w:bookmarkStart w:id="5" w:name="O_941830"/>
      <w:bookmarkEnd w:id="5"/>
      <w:r w:rsidRPr="00A75CDE">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A75CDE">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Elements describe t</w:t>
            </w:r>
            <w:r w:rsidRPr="00A75CDE">
              <w: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Performance criteria describe the performance needed to demonstrate achievement of the element.</w:t>
            </w: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75CDE" w:rsidP="00A75CDE">
            <w:pPr>
              <w:pStyle w:val="BodyText"/>
            </w:pPr>
            <w:r w:rsidRPr="00A75CDE">
              <w:t>1</w:t>
            </w:r>
          </w:p>
        </w:tc>
        <w:tc>
          <w:tcPr>
            <w:tcW w:w="1974" w:type="dxa"/>
            <w:vMerge w:val="restart"/>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1.1</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Follow standard operating procedures (SOPs)</w:t>
            </w: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1.2</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Comply with work health and safety (WHS) requirements at all times</w:t>
            </w: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1.3</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Use appropriate personal protective equipment (PPE) in accordance with SOPs</w:t>
            </w: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1.4</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Identify job requirements from specifications, drawings, job sheets or work instructions</w:t>
            </w:r>
          </w:p>
        </w:tc>
      </w:tr>
      <w:tr w:rsidTr="00A75CD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A75CDE">
            <w:pPr>
              <w:pStyle w:val="BodyText"/>
              <w:rPr>
                <w:lang w:val="en-NZ"/>
              </w:rPr>
            </w:pP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75CDE" w:rsidP="00A75CDE">
            <w:pPr>
              <w:pStyle w:val="BodyText"/>
            </w:pPr>
            <w:r w:rsidRPr="00A75CDE">
              <w:t>2</w:t>
            </w:r>
          </w:p>
        </w:tc>
        <w:tc>
          <w:tcPr>
            <w:tcW w:w="1974" w:type="dxa"/>
            <w:vMerge w:val="restart"/>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rPr>
                <w:rStyle w:val="SpecialBold"/>
              </w:rPr>
              <w:t>Undertake preventive maintenance checks/adjustments</w:t>
            </w: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2.1</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Carry out visual inspection and testing with appropriate test equipment according to refrigeration principles, procedures and safety requirements</w:t>
            </w: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2.2</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Perform preventative maintenance tasks according to manufacturers</w:t>
            </w:r>
            <w:r>
              <w:t>’</w:t>
            </w:r>
            <w:r w:rsidRPr="00A75CDE">
              <w:t xml:space="preserve"> specifications </w:t>
            </w:r>
          </w:p>
        </w:tc>
      </w:tr>
      <w:tr w:rsidTr="00A75CD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A75CDE">
            <w:pPr>
              <w:pStyle w:val="BodyText"/>
              <w:rPr>
                <w:lang w:val="en-NZ"/>
              </w:rPr>
            </w:pP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75CDE" w:rsidP="00A75CDE">
            <w:pPr>
              <w:pStyle w:val="BodyText"/>
            </w:pPr>
            <w:r w:rsidRPr="00A75CDE">
              <w:t>3</w:t>
            </w:r>
          </w:p>
        </w:tc>
        <w:tc>
          <w:tcPr>
            <w:tcW w:w="1974" w:type="dxa"/>
            <w:vMerge w:val="restart"/>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rPr>
                <w:rStyle w:val="SpecialBold"/>
              </w:rPr>
              <w:t xml:space="preserve">Undertake fault </w:t>
            </w:r>
            <w:r w:rsidRPr="00A75CDE">
              <w:rPr>
                <w:rStyle w:val="SpecialBold"/>
              </w:rPr>
              <w:t>finding on commercial refrigeration equipment</w:t>
            </w: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3.1</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Identify equipment components</w:t>
            </w: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3.2</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Interpret the characteristics and operation of each component</w:t>
            </w: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3.3</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Inspect and test the operational function of each component and assess correct operation against specifications</w:t>
            </w:r>
          </w:p>
        </w:tc>
      </w:tr>
      <w:tr w:rsidTr="00A75CD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A75CDE">
            <w:pPr>
              <w:pStyle w:val="BodyText"/>
              <w:rPr>
                <w:lang w:val="en-NZ"/>
              </w:rPr>
            </w:pP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75CDE" w:rsidP="00A75CDE">
            <w:pPr>
              <w:pStyle w:val="BodyText"/>
            </w:pPr>
            <w:r w:rsidRPr="00A75CDE">
              <w:t>4</w:t>
            </w:r>
          </w:p>
        </w:tc>
        <w:tc>
          <w:tcPr>
            <w:tcW w:w="1974" w:type="dxa"/>
            <w:vMerge w:val="restart"/>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rPr>
                <w:rStyle w:val="SpecialBold"/>
              </w:rPr>
              <w:t>Repair/replace commercial refrigeration components</w:t>
            </w: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4.1</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 xml:space="preserve">Localise faulty components and confirm malfunction </w:t>
            </w: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4.2</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Remove the refrigerant safely from the system and contain in accordance with procedures and regulatory requirements, where appropriate</w:t>
            </w: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4.3</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Dismantle faulty components and repair to manufacturers</w:t>
            </w:r>
            <w:r>
              <w:t>’</w:t>
            </w:r>
            <w:r w:rsidRPr="00A75CDE">
              <w:t xml:space="preserve"> specifications, as required</w:t>
            </w: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4.4</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Select replacement par</w:t>
            </w:r>
            <w:r w:rsidRPr="00A75CDE">
              <w:t>ts from manufacturers</w:t>
            </w:r>
            <w:r>
              <w:t>’</w:t>
            </w:r>
            <w:r w:rsidRPr="00A75CDE">
              <w:t xml:space="preserve"> catalogues </w:t>
            </w:r>
          </w:p>
        </w:tc>
      </w:tr>
      <w:tr w:rsidTr="00A75CDE">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A75CDE">
            <w:pPr>
              <w:pStyle w:val="BodyText"/>
              <w:rPr>
                <w:lang w:val="en-NZ"/>
              </w:rPr>
            </w:pP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75CDE" w:rsidP="00A75CDE">
            <w:pPr>
              <w:pStyle w:val="BodyText"/>
            </w:pPr>
            <w:r w:rsidRPr="00A75CDE">
              <w:t>5</w:t>
            </w:r>
          </w:p>
        </w:tc>
        <w:tc>
          <w:tcPr>
            <w:tcW w:w="1974" w:type="dxa"/>
            <w:vMerge w:val="restart"/>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rPr>
                <w:rStyle w:val="SpecialBold"/>
              </w:rPr>
              <w:t>Return to service commercial refrigeration equipment</w:t>
            </w: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5.1</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Reassemble components and test for correct operation and assess against specification</w:t>
            </w: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5.2</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Charge the system safely with correct refrigerant and in accordance with procedures and regulatory requirements, where appropriate</w:t>
            </w: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5.3</w:t>
            </w:r>
          </w:p>
        </w:tc>
        <w:tc>
          <w:tcPr>
            <w:tcW w:w="5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 xml:space="preserve">Verify correct operation of the equipment </w:t>
            </w:r>
          </w:p>
        </w:tc>
      </w:tr>
      <w:tr w:rsidTr="00A75CDE">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5.4</w:t>
            </w:r>
          </w:p>
        </w:tc>
        <w:tc>
          <w:tcPr>
            <w:tcW w:w="5641" w:type="dxa"/>
            <w:tcBorders>
              <w:top w:val="nil"/>
              <w:left w:val="nil"/>
              <w:bottom w:val="nil"/>
              <w:right w:val="nil"/>
            </w:tcBorders>
            <w:tcMar>
              <w:top w:w="0" w:type="dxa"/>
              <w:left w:w="62" w:type="dxa"/>
              <w:bottom w:w="0" w:type="dxa"/>
              <w:right w:w="62" w:type="dxa"/>
            </w:tcMar>
          </w:tcPr>
          <w:p w:rsidR="00000000" w:rsidRPr="00A75CDE" w:rsidP="00A75CDE">
            <w:pPr>
              <w:pStyle w:val="BodyText"/>
            </w:pPr>
            <w:r w:rsidRPr="00A75CDE">
              <w:t>Complete maintenance records/service reports according to SOPs and legislative requirements</w:t>
            </w:r>
          </w:p>
        </w:tc>
      </w:tr>
    </w:tbl>
    <w:p w:rsidR="00000000" w:rsidRPr="00A75CDE" w:rsidP="00A75CDE">
      <w:pPr>
        <w:pStyle w:val="BodyText"/>
      </w:pPr>
    </w:p>
    <w:p w:rsidR="00000000" w:rsidRPr="00A75CDE" w:rsidP="00A75CDE">
      <w:pPr>
        <w:pStyle w:val="AllowPageBreak"/>
      </w:pPr>
    </w:p>
    <w:p w:rsidR="00000000" w:rsidRPr="00A75CDE" w:rsidP="00A75CDE">
      <w:pPr>
        <w:pStyle w:val="Heading1"/>
      </w:pPr>
      <w:bookmarkStart w:id="6" w:name="O_941829"/>
      <w:bookmarkEnd w:id="6"/>
      <w:r w:rsidRPr="00A75CDE">
        <w:t>Foundation Skills</w:t>
      </w:r>
    </w:p>
    <w:p w:rsidR="00000000" w:rsidRPr="00A75CDE" w:rsidP="00D60185">
      <w:pPr>
        <w:pStyle w:val="BodyText"/>
      </w:pPr>
      <w:r w:rsidRPr="00A75CDE">
        <w:t>This section describes those required skills (reading, writing, oral communication and numeracy) that are essential to workplac</w:t>
      </w:r>
      <w:r w:rsidRPr="00A75CDE">
        <w:t xml:space="preserve">e performance in this unit of competency.  </w:t>
      </w:r>
    </w:p>
    <w:p w:rsidR="00000000" w:rsidRPr="00A75CDE" w:rsidP="00D60185">
      <w:pPr>
        <w:pStyle w:val="BodyText"/>
      </w:pPr>
      <w:r w:rsidRPr="00A75CDE">
        <w:t>Foundation skills essential to performance are explicit in the performance criteria of this unit of competency.</w:t>
      </w:r>
    </w:p>
    <w:p w:rsidR="00000000" w:rsidRPr="00A75CDE" w:rsidP="00A75CDE">
      <w:pPr>
        <w:pStyle w:val="Heading1"/>
      </w:pPr>
      <w:bookmarkStart w:id="7" w:name="O_941828"/>
      <w:bookmarkEnd w:id="7"/>
      <w:r w:rsidRPr="00A75CDE">
        <w:t>Range of Conditions</w:t>
      </w:r>
    </w:p>
    <w:tbl>
      <w:tblPr>
        <w:tblW w:w="0" w:type="auto"/>
        <w:tblLayout w:type="fixed"/>
        <w:tblCellMar>
          <w:left w:w="62" w:type="dxa"/>
          <w:right w:w="62" w:type="dxa"/>
        </w:tblCellMar>
        <w:tblLook w:val="0000"/>
      </w:tblPr>
      <w:tblGrid>
        <w:gridCol w:w="2641"/>
        <w:gridCol w:w="6501"/>
      </w:tblGrid>
      <w:tr w:rsidTr="00A75CDE">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t>This field allows for different work environments and conditio</w:t>
            </w:r>
            <w:r w:rsidRPr="00A75CDE">
              <w:t>ns that may affect performance. Essential operating conditions that may be present (depending on the work situation, needs of the candidate, accessibility of the item, and local industry and regional contexts) are included.</w:t>
            </w:r>
          </w:p>
        </w:tc>
      </w:tr>
      <w:tr w:rsidTr="00A75CD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rPr>
                <w:rStyle w:val="SpecialBold"/>
              </w:rPr>
              <w:t xml:space="preserve">Test equipment includes one (1) or more of the following: </w:t>
            </w:r>
          </w:p>
        </w:tc>
        <w:tc>
          <w:tcPr>
            <w:tcW w:w="6501" w:type="dxa"/>
            <w:tcBorders>
              <w:top w:val="nil"/>
              <w:left w:val="nil"/>
              <w:bottom w:val="nil"/>
              <w:right w:val="nil"/>
            </w:tcBorders>
            <w:tcMar>
              <w:top w:w="0" w:type="dxa"/>
              <w:left w:w="62" w:type="dxa"/>
              <w:bottom w:w="0" w:type="dxa"/>
              <w:right w:w="62" w:type="dxa"/>
            </w:tcMar>
          </w:tcPr>
          <w:p w:rsidR="00000000" w:rsidRPr="00A75CDE" w:rsidP="00A75CDE">
            <w:pPr>
              <w:pStyle w:val="ListBullet"/>
            </w:pPr>
            <w:r w:rsidRPr="00A75CDE">
              <w:t>multimeter</w:t>
            </w:r>
          </w:p>
          <w:p w:rsidR="00000000" w:rsidRPr="00A75CDE" w:rsidP="00A75CDE">
            <w:pPr>
              <w:pStyle w:val="ListBullet"/>
            </w:pPr>
            <w:r w:rsidRPr="00A75CDE">
              <w:t>ammeter</w:t>
            </w:r>
          </w:p>
          <w:p w:rsidR="00000000" w:rsidRPr="00A75CDE" w:rsidP="00A75CDE">
            <w:pPr>
              <w:pStyle w:val="ListBullet"/>
            </w:pPr>
            <w:r w:rsidRPr="00A75CDE">
              <w:t>insulation resistance tester</w:t>
            </w:r>
          </w:p>
          <w:p w:rsidR="00000000" w:rsidRPr="00A75CDE" w:rsidP="00A75CDE">
            <w:pPr>
              <w:pStyle w:val="ListBullet"/>
            </w:pPr>
            <w:r w:rsidRPr="00A75CDE">
              <w:t>refrigeration gauge set</w:t>
            </w:r>
          </w:p>
          <w:p w:rsidR="00000000" w:rsidRPr="00A75CDE" w:rsidP="00A75CDE">
            <w:pPr>
              <w:pStyle w:val="ListBullet"/>
            </w:pPr>
            <w:r w:rsidRPr="00A75CDE">
              <w:t>vacuum pump</w:t>
            </w:r>
          </w:p>
          <w:p w:rsidR="00000000" w:rsidRPr="00A75CDE" w:rsidP="00A75CDE">
            <w:pPr>
              <w:pStyle w:val="ListBullet"/>
            </w:pPr>
            <w:r w:rsidRPr="00A75CDE">
              <w:t>service gauges</w:t>
            </w:r>
          </w:p>
          <w:p w:rsidR="00000000" w:rsidRPr="00A75CDE" w:rsidP="00A75CDE">
            <w:pPr>
              <w:pStyle w:val="ListBullet"/>
            </w:pPr>
            <w:r w:rsidRPr="00A75CDE">
              <w:t xml:space="preserve">thermometer </w:t>
            </w:r>
          </w:p>
          <w:p w:rsidR="00000000" w:rsidP="00A75CDE">
            <w:pPr>
              <w:pStyle w:val="BodyText"/>
              <w:rPr>
                <w:lang w:val="en-NZ"/>
              </w:rPr>
            </w:pPr>
          </w:p>
        </w:tc>
      </w:tr>
      <w:tr w:rsidTr="00A75CD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A75CDE">
            <w:pPr>
              <w:pStyle w:val="BodyText"/>
              <w:rPr>
                <w:lang w:val="en-NZ"/>
              </w:rPr>
            </w:pPr>
            <w:r w:rsidRPr="00A75CDE">
              <w:rPr>
                <w:rStyle w:val="SpecialBold"/>
              </w:rPr>
              <w:t>Preventative maintenance tasks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75CDE" w:rsidP="00A75CDE">
            <w:pPr>
              <w:pStyle w:val="ListBullet"/>
            </w:pPr>
            <w:r w:rsidRPr="00A75CDE">
              <w:t>overhaul of major system components</w:t>
            </w:r>
          </w:p>
          <w:p w:rsidR="00000000" w:rsidRPr="00A75CDE" w:rsidP="00A75CDE">
            <w:pPr>
              <w:pStyle w:val="ListBullet"/>
            </w:pPr>
            <w:r w:rsidRPr="00A75CDE">
              <w:t>cleaning of major system components</w:t>
            </w:r>
          </w:p>
          <w:p w:rsidR="00000000" w:rsidRPr="00A75CDE" w:rsidP="00A75CDE">
            <w:pPr>
              <w:pStyle w:val="ListBullet"/>
            </w:pPr>
            <w:r w:rsidRPr="00A75CDE">
              <w:t>test operation of all safety devices</w:t>
            </w:r>
          </w:p>
          <w:p w:rsidR="00000000" w:rsidRPr="00A75CDE" w:rsidP="00A75CDE">
            <w:pPr>
              <w:pStyle w:val="BodyText"/>
            </w:pPr>
          </w:p>
        </w:tc>
      </w:tr>
    </w:tbl>
    <w:p w:rsidR="00000000" w:rsidRPr="00A75CDE" w:rsidP="00A75CDE">
      <w:pPr>
        <w:pStyle w:val="BodyText"/>
      </w:pPr>
    </w:p>
    <w:p w:rsidR="00000000" w:rsidRPr="00A75CDE" w:rsidP="00A75CDE">
      <w:pPr>
        <w:pStyle w:val="AllowPageBreak"/>
      </w:pPr>
    </w:p>
    <w:p w:rsidR="00000000" w:rsidRPr="00A75CDE" w:rsidP="00A75CDE">
      <w:pPr>
        <w:pStyle w:val="Heading1"/>
      </w:pPr>
      <w:bookmarkStart w:id="8" w:name="O_941827"/>
      <w:bookmarkEnd w:id="8"/>
      <w:r w:rsidRPr="00A75CDE">
        <w:t>Unit Mapping Information</w:t>
      </w:r>
    </w:p>
    <w:p w:rsidR="00000000" w:rsidRPr="00A75CDE" w:rsidP="00D60185">
      <w:pPr>
        <w:pStyle w:val="BodyText"/>
      </w:pPr>
      <w:r w:rsidRPr="00A75CDE">
        <w:t>Release 1. Supersedes and is equivalent to MEM18094B Service and repair commercial refrigeration</w:t>
      </w:r>
    </w:p>
    <w:p w:rsidR="00000000" w:rsidRPr="00A75CDE" w:rsidP="00A75CDE">
      <w:pPr>
        <w:pStyle w:val="Heading1"/>
      </w:pPr>
      <w:bookmarkStart w:id="9" w:name="O_941820"/>
      <w:bookmarkEnd w:id="9"/>
      <w:r w:rsidRPr="00A75CDE">
        <w:t>Links</w:t>
      </w:r>
    </w:p>
    <w:p w:rsidR="00000000" w:rsidRPr="00A75CDE" w:rsidP="00D60185">
      <w:pPr>
        <w:pStyle w:val="BodyText"/>
      </w:pPr>
      <w:r w:rsidRPr="00A75CD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D782F">
        <w:rPr>
          <w:rStyle w:val="Hyperlink"/>
        </w:rPr>
        <w:t>https://vetnet.gov.au/Pages/TrainingDocs.aspx?q=b7050d37-5fd0-4740-8f7d-3b7a49c10bb2</w:t>
      </w:r>
      <w:r>
        <w:fldChar w:fldCharType="end"/>
      </w:r>
    </w:p>
    <w:p w:rsidR="00000000" w:rsidRPr="00A75CDE" w:rsidP="00A75CDE"/>
    <w:sectPr w:rsidSect="00A75C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DE" w:rsidRPr="00D60185" w:rsidP="00D60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85" w:rsidP="00A75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0185" w:rsidP="00A75CD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0185" w:rsidP="00A75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5CDE" w:rsidRPr="00D60185" w:rsidP="00D601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85" w:rsidRPr="002D2AF8" w:rsidP="00A75CDE">
    <w:pPr>
      <w:pStyle w:val="Header"/>
      <w:framePr w:wrap="around"/>
    </w:pPr>
    <w:r>
      <w:fldChar w:fldCharType="begin"/>
    </w:r>
    <w:r>
      <w:instrText xml:space="preserve"> TITLE   \* MERGEFORMAT </w:instrText>
    </w:r>
    <w:r>
      <w:fldChar w:fldCharType="separate"/>
    </w:r>
    <w:r>
      <w:t>MEM18094 Service and repair commercial refrigeration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60185" w:rsidP="00A75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18F5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E238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5CDE"/>
    <w:pPr>
      <w:spacing w:before="360" w:after="60"/>
      <w:outlineLvl w:val="0"/>
    </w:pPr>
    <w:rPr>
      <w:sz w:val="32"/>
    </w:rPr>
  </w:style>
  <w:style w:type="paragraph" w:styleId="Heading2">
    <w:name w:val="heading 2"/>
    <w:basedOn w:val="HeadingBase"/>
    <w:next w:val="BodyText"/>
    <w:link w:val="Heading2Char"/>
    <w:qFormat/>
    <w:rsid w:val="00A75CDE"/>
    <w:pPr>
      <w:keepLines/>
      <w:spacing w:before="240" w:after="120"/>
      <w:outlineLvl w:val="1"/>
    </w:pPr>
    <w:rPr>
      <w:sz w:val="28"/>
      <w:szCs w:val="40"/>
    </w:rPr>
  </w:style>
  <w:style w:type="paragraph" w:styleId="Heading3">
    <w:name w:val="heading 3"/>
    <w:basedOn w:val="HeadingBase"/>
    <w:next w:val="BodyText"/>
    <w:link w:val="Heading3Char"/>
    <w:qFormat/>
    <w:rsid w:val="00A75CDE"/>
    <w:pPr>
      <w:spacing w:before="180" w:after="120"/>
      <w:outlineLvl w:val="2"/>
    </w:pPr>
    <w:rPr>
      <w:spacing w:val="-10"/>
      <w:kern w:val="32"/>
    </w:rPr>
  </w:style>
  <w:style w:type="paragraph" w:styleId="Heading4">
    <w:name w:val="heading 4"/>
    <w:basedOn w:val="HeadingBase"/>
    <w:next w:val="BodyText"/>
    <w:link w:val="Heading4Char"/>
    <w:qFormat/>
    <w:rsid w:val="00A75CDE"/>
    <w:pPr>
      <w:spacing w:before="160" w:after="120"/>
      <w:outlineLvl w:val="3"/>
    </w:pPr>
    <w:rPr>
      <w:sz w:val="22"/>
    </w:rPr>
  </w:style>
  <w:style w:type="paragraph" w:styleId="Heading5">
    <w:name w:val="heading 5"/>
    <w:basedOn w:val="HeadingBase"/>
    <w:next w:val="Normal"/>
    <w:link w:val="Heading5Char"/>
    <w:qFormat/>
    <w:rsid w:val="00A75CDE"/>
    <w:pPr>
      <w:spacing w:before="80"/>
      <w:outlineLvl w:val="4"/>
    </w:pPr>
    <w:rPr>
      <w:color w:val="918585"/>
      <w:sz w:val="20"/>
    </w:rPr>
  </w:style>
  <w:style w:type="paragraph" w:styleId="Heading6">
    <w:name w:val="heading 6"/>
    <w:basedOn w:val="HeadingBase"/>
    <w:next w:val="Normal"/>
    <w:link w:val="Heading6Char"/>
    <w:qFormat/>
    <w:rsid w:val="00A75CDE"/>
    <w:pPr>
      <w:spacing w:before="60"/>
      <w:outlineLvl w:val="5"/>
    </w:pPr>
    <w:rPr>
      <w:color w:val="918585"/>
      <w:sz w:val="20"/>
    </w:rPr>
  </w:style>
  <w:style w:type="paragraph" w:styleId="Heading7">
    <w:name w:val="heading 7"/>
    <w:basedOn w:val="Normal"/>
    <w:next w:val="Normal"/>
    <w:link w:val="Heading7Char"/>
    <w:qFormat/>
    <w:rsid w:val="00A75CDE"/>
    <w:pPr>
      <w:ind w:left="720"/>
      <w:outlineLvl w:val="6"/>
    </w:pPr>
    <w:rPr>
      <w:i/>
    </w:rPr>
  </w:style>
  <w:style w:type="paragraph" w:styleId="Heading8">
    <w:name w:val="heading 8"/>
    <w:basedOn w:val="Normal"/>
    <w:next w:val="Normal"/>
    <w:link w:val="Heading8Char"/>
    <w:qFormat/>
    <w:rsid w:val="00A75CDE"/>
    <w:pPr>
      <w:ind w:left="720"/>
      <w:outlineLvl w:val="7"/>
    </w:pPr>
    <w:rPr>
      <w:i/>
    </w:rPr>
  </w:style>
  <w:style w:type="paragraph" w:styleId="Heading9">
    <w:name w:val="heading 9"/>
    <w:basedOn w:val="Normal"/>
    <w:next w:val="Normal"/>
    <w:link w:val="Heading9Char"/>
    <w:qFormat/>
    <w:rsid w:val="00A75CDE"/>
    <w:pPr>
      <w:ind w:left="720"/>
      <w:outlineLvl w:val="8"/>
    </w:pPr>
    <w:rPr>
      <w:i/>
    </w:rPr>
  </w:style>
  <w:style w:type="character" w:default="1" w:styleId="DefaultParagraphFont">
    <w:name w:val="Default Paragraph Font"/>
    <w:uiPriority w:val="1"/>
    <w:unhideWhenUsed/>
    <w:rsid w:val="00A75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5CDE"/>
  </w:style>
  <w:style w:type="character" w:customStyle="1" w:styleId="Heading1Char">
    <w:name w:val="Heading 1 Char"/>
    <w:basedOn w:val="DefaultParagraphFont"/>
    <w:link w:val="Heading1"/>
    <w:rsid w:val="00A75CDE"/>
    <w:rPr>
      <w:rFonts w:ascii="Times New Roman" w:eastAsia="Times New Roman" w:hAnsi="Times New Roman" w:cs="Times New Roman"/>
      <w:b/>
      <w:sz w:val="32"/>
      <w:szCs w:val="20"/>
      <w:lang w:eastAsia="en-US"/>
    </w:rPr>
  </w:style>
  <w:style w:type="paragraph" w:styleId="BodyText">
    <w:name w:val="Body Text"/>
    <w:basedOn w:val="Normal"/>
    <w:link w:val="BodyTextChar"/>
    <w:rsid w:val="00A75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5CDE"/>
    <w:rPr>
      <w:rFonts w:ascii="Times New Roman" w:eastAsia="Times New Roman" w:hAnsi="Times New Roman" w:cs="Times New Roman"/>
      <w:sz w:val="24"/>
      <w:lang w:eastAsia="en-US"/>
    </w:rPr>
  </w:style>
  <w:style w:type="paragraph" w:styleId="ListBullet">
    <w:name w:val="List Bullet"/>
    <w:basedOn w:val="List"/>
    <w:rsid w:val="00A75CDE"/>
    <w:pPr>
      <w:numPr>
        <w:numId w:val="11"/>
      </w:numPr>
      <w:tabs>
        <w:tab w:val="clear" w:pos="340"/>
      </w:tabs>
      <w:spacing w:before="40" w:after="40"/>
    </w:pPr>
  </w:style>
  <w:style w:type="character" w:customStyle="1" w:styleId="SpecialBold">
    <w:name w:val="Special Bold"/>
    <w:basedOn w:val="DefaultParagraphFont"/>
    <w:rsid w:val="00A75CDE"/>
    <w:rPr>
      <w:b/>
      <w:spacing w:val="0"/>
    </w:rPr>
  </w:style>
  <w:style w:type="paragraph" w:customStyle="1" w:styleId="SuperHeading">
    <w:name w:val="SuperHeading"/>
    <w:basedOn w:val="Normal"/>
    <w:rsid w:val="00A75CDE"/>
    <w:pPr>
      <w:spacing w:before="240" w:after="120"/>
      <w:outlineLvl w:val="0"/>
    </w:pPr>
    <w:rPr>
      <w:rFonts w:ascii="Times New Roman" w:hAnsi="Times New Roman"/>
      <w:b/>
      <w:sz w:val="32"/>
    </w:rPr>
  </w:style>
  <w:style w:type="paragraph" w:customStyle="1" w:styleId="AllowPageBreak">
    <w:name w:val="AllowPageBreak"/>
    <w:rsid w:val="00A75C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5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5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5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5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5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5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5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5CDE"/>
    <w:rPr>
      <w:rFonts w:ascii="Courier New" w:eastAsia="Times New Roman" w:hAnsi="Courier New" w:cs="Times New Roman"/>
      <w:i/>
      <w:szCs w:val="20"/>
      <w:lang w:eastAsia="en-US"/>
    </w:rPr>
  </w:style>
  <w:style w:type="paragraph" w:customStyle="1" w:styleId="HeadingBase">
    <w:name w:val="Heading Base"/>
    <w:rsid w:val="00A75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5CDE"/>
    <w:pPr>
      <w:tabs>
        <w:tab w:val="right" w:leader="dot" w:pos="9072"/>
      </w:tabs>
      <w:ind w:left="567"/>
    </w:pPr>
    <w:rPr>
      <w:szCs w:val="22"/>
    </w:rPr>
  </w:style>
  <w:style w:type="paragraph" w:customStyle="1" w:styleId="TOCBase">
    <w:name w:val="TOC Base"/>
    <w:rsid w:val="00A75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5CDE"/>
    <w:pPr>
      <w:tabs>
        <w:tab w:val="right" w:leader="dot" w:pos="9072"/>
      </w:tabs>
      <w:spacing w:before="40" w:after="40"/>
      <w:ind w:left="284"/>
    </w:pPr>
    <w:rPr>
      <w:rFonts w:ascii="Times New Roman" w:hAnsi="Times New Roman"/>
    </w:rPr>
  </w:style>
  <w:style w:type="paragraph" w:styleId="TOC1">
    <w:name w:val="toc 1"/>
    <w:basedOn w:val="TOCBase"/>
    <w:next w:val="Normal"/>
    <w:rsid w:val="00A75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5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5CDE"/>
    <w:rPr>
      <w:rFonts w:ascii="Times New Roman" w:eastAsia="Times New Roman" w:hAnsi="Times New Roman" w:cs="Times New Roman"/>
      <w:sz w:val="16"/>
      <w:lang w:eastAsia="en-US"/>
    </w:rPr>
  </w:style>
  <w:style w:type="paragraph" w:styleId="Title">
    <w:name w:val="Title"/>
    <w:basedOn w:val="HeadingBase"/>
    <w:link w:val="TitleChar"/>
    <w:qFormat/>
    <w:rsid w:val="00A75CDE"/>
    <w:pPr>
      <w:spacing w:before="5040"/>
      <w:jc w:val="center"/>
    </w:pPr>
    <w:rPr>
      <w:sz w:val="48"/>
      <w:szCs w:val="72"/>
      <w:lang w:val="en-US"/>
    </w:rPr>
  </w:style>
  <w:style w:type="character" w:customStyle="1" w:styleId="TitleChar">
    <w:name w:val="Title Char"/>
    <w:basedOn w:val="DefaultParagraphFont"/>
    <w:link w:val="Title"/>
    <w:rsid w:val="00A75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5CDE"/>
    <w:pPr>
      <w:tabs>
        <w:tab w:val="left" w:pos="3600"/>
        <w:tab w:val="left" w:pos="3958"/>
      </w:tabs>
    </w:pPr>
  </w:style>
  <w:style w:type="paragraph" w:styleId="List">
    <w:name w:val="List"/>
    <w:basedOn w:val="BodyText"/>
    <w:next w:val="BodyText"/>
    <w:rsid w:val="00A75CDE"/>
    <w:pPr>
      <w:tabs>
        <w:tab w:val="left" w:pos="340"/>
      </w:tabs>
      <w:spacing w:before="60" w:after="60"/>
      <w:ind w:left="340" w:hanging="340"/>
    </w:pPr>
  </w:style>
  <w:style w:type="paragraph" w:customStyle="1" w:styleId="Note">
    <w:name w:val="Note"/>
    <w:basedOn w:val="BodyText"/>
    <w:rsid w:val="00A75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5CDE"/>
    <w:pPr>
      <w:framePr w:wrap="auto" w:hAnchor="text" w:y="6049"/>
    </w:pPr>
    <w:rPr>
      <w:color w:val="000000"/>
      <w:sz w:val="40"/>
    </w:rPr>
  </w:style>
  <w:style w:type="paragraph" w:customStyle="1" w:styleId="TOCTitle">
    <w:name w:val="TOCTitle"/>
    <w:basedOn w:val="Heading1"/>
    <w:rsid w:val="00A75CDE"/>
    <w:pPr>
      <w:spacing w:after="240"/>
      <w:jc w:val="center"/>
      <w:outlineLvl w:val="9"/>
    </w:pPr>
    <w:rPr>
      <w:caps/>
    </w:rPr>
  </w:style>
  <w:style w:type="paragraph" w:customStyle="1" w:styleId="Version">
    <w:name w:val="Version"/>
    <w:rsid w:val="00A75C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5CDE"/>
    <w:pPr>
      <w:numPr>
        <w:numId w:val="12"/>
      </w:numPr>
      <w:tabs>
        <w:tab w:val="clear" w:pos="680"/>
      </w:tabs>
    </w:pPr>
  </w:style>
  <w:style w:type="paragraph" w:styleId="Index1">
    <w:name w:val="index 1"/>
    <w:basedOn w:val="Normal"/>
    <w:next w:val="Normal"/>
    <w:semiHidden/>
    <w:rsid w:val="00A75CDE"/>
    <w:pPr>
      <w:keepNext w:val="0"/>
      <w:tabs>
        <w:tab w:val="right" w:pos="4176"/>
      </w:tabs>
      <w:ind w:left="198" w:hanging="198"/>
    </w:pPr>
    <w:rPr>
      <w:rFonts w:ascii="Garamond" w:hAnsi="Garamond"/>
    </w:rPr>
  </w:style>
  <w:style w:type="paragraph" w:styleId="IndexHeading">
    <w:name w:val="index heading"/>
    <w:basedOn w:val="Normal"/>
    <w:next w:val="Index1"/>
    <w:semiHidden/>
    <w:rsid w:val="00A75CDE"/>
    <w:pPr>
      <w:spacing w:before="120" w:after="120"/>
    </w:pPr>
    <w:rPr>
      <w:rFonts w:ascii="Arial" w:hAnsi="Arial"/>
      <w:b/>
      <w:color w:val="918585"/>
      <w:sz w:val="24"/>
    </w:rPr>
  </w:style>
  <w:style w:type="paragraph" w:styleId="Header">
    <w:name w:val="header"/>
    <w:basedOn w:val="Normal"/>
    <w:link w:val="HeaderChar"/>
    <w:rsid w:val="00A75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5CDE"/>
    <w:rPr>
      <w:rFonts w:ascii="Times New Roman" w:eastAsia="Times New Roman" w:hAnsi="Times New Roman" w:cs="Times New Roman"/>
      <w:sz w:val="16"/>
      <w:szCs w:val="20"/>
      <w:lang w:val="en-GB" w:eastAsia="en-US"/>
    </w:rPr>
  </w:style>
  <w:style w:type="paragraph" w:customStyle="1" w:styleId="Chapter">
    <w:name w:val="Chapter"/>
    <w:basedOn w:val="Normal"/>
    <w:rsid w:val="00A75CDE"/>
    <w:pPr>
      <w:spacing w:before="240"/>
    </w:pPr>
    <w:rPr>
      <w:rFonts w:ascii="Times New Roman" w:hAnsi="Times New Roman"/>
      <w:smallCaps/>
      <w:spacing w:val="80"/>
      <w:sz w:val="28"/>
    </w:rPr>
  </w:style>
  <w:style w:type="paragraph" w:customStyle="1" w:styleId="InChapter">
    <w:name w:val="InChapter"/>
    <w:basedOn w:val="Heading3"/>
    <w:rsid w:val="00A75CDE"/>
    <w:pPr>
      <w:spacing w:after="240"/>
      <w:outlineLvl w:val="9"/>
    </w:pPr>
    <w:rPr>
      <w:noProof/>
    </w:rPr>
  </w:style>
  <w:style w:type="paragraph" w:styleId="Index2">
    <w:name w:val="index 2"/>
    <w:basedOn w:val="Normal"/>
    <w:next w:val="Normal"/>
    <w:semiHidden/>
    <w:rsid w:val="00A75CDE"/>
    <w:pPr>
      <w:tabs>
        <w:tab w:val="right" w:pos="4176"/>
      </w:tabs>
      <w:ind w:left="568" w:hanging="284"/>
    </w:pPr>
    <w:rPr>
      <w:rFonts w:ascii="Garamond" w:hAnsi="Garamond"/>
    </w:rPr>
  </w:style>
  <w:style w:type="paragraph" w:customStyle="1" w:styleId="Byline">
    <w:name w:val="Byline"/>
    <w:rsid w:val="00A75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5CDE"/>
    <w:pPr>
      <w:tabs>
        <w:tab w:val="clear" w:pos="3600"/>
        <w:tab w:val="clear" w:pos="3958"/>
      </w:tabs>
      <w:jc w:val="right"/>
    </w:pPr>
  </w:style>
  <w:style w:type="character" w:styleId="Emphasis">
    <w:name w:val="Emphasis"/>
    <w:basedOn w:val="DefaultParagraphFont"/>
    <w:qFormat/>
    <w:rsid w:val="00A75CDE"/>
    <w:rPr>
      <w:i/>
    </w:rPr>
  </w:style>
  <w:style w:type="paragraph" w:styleId="Caption">
    <w:name w:val="caption"/>
    <w:basedOn w:val="BodyText"/>
    <w:next w:val="Normal"/>
    <w:qFormat/>
    <w:rsid w:val="00A75CDE"/>
    <w:pPr>
      <w:framePr w:w="2268" w:hSpace="181" w:vSpace="181" w:wrap="around" w:vAnchor="text" w:hAnchor="page" w:x="1135" w:y="285" w:anchorLock="1"/>
    </w:pPr>
    <w:rPr>
      <w:i/>
    </w:rPr>
  </w:style>
  <w:style w:type="paragraph" w:customStyle="1" w:styleId="MiniTOCTitle">
    <w:name w:val="MiniTOCTitle"/>
    <w:basedOn w:val="Heading4"/>
    <w:rsid w:val="00A75CDE"/>
    <w:pPr>
      <w:spacing w:before="240"/>
      <w:outlineLvl w:val="9"/>
    </w:pPr>
    <w:rPr>
      <w:noProof/>
      <w:sz w:val="24"/>
    </w:rPr>
  </w:style>
  <w:style w:type="paragraph" w:customStyle="1" w:styleId="MiniTOCItem">
    <w:name w:val="MiniTOCItem"/>
    <w:basedOn w:val="ListBullet"/>
    <w:rsid w:val="00A75CDE"/>
    <w:pPr>
      <w:numPr>
        <w:numId w:val="0"/>
      </w:numPr>
      <w:tabs>
        <w:tab w:val="right" w:leader="dot" w:pos="6521"/>
      </w:tabs>
      <w:spacing w:before="0" w:after="0"/>
    </w:pPr>
  </w:style>
  <w:style w:type="paragraph" w:customStyle="1" w:styleId="TOFTitle">
    <w:name w:val="TOFTitle"/>
    <w:basedOn w:val="TOCTitle"/>
    <w:rsid w:val="00A75CDE"/>
  </w:style>
  <w:style w:type="paragraph" w:styleId="TableofFigures">
    <w:name w:val="table of figures"/>
    <w:basedOn w:val="Normal"/>
    <w:next w:val="Normal"/>
    <w:semiHidden/>
    <w:rsid w:val="00A75CDE"/>
    <w:pPr>
      <w:tabs>
        <w:tab w:val="right" w:leader="dot" w:pos="9072"/>
      </w:tabs>
      <w:ind w:left="970" w:hanging="403"/>
    </w:pPr>
    <w:rPr>
      <w:rFonts w:ascii="Times New Roman" w:hAnsi="Times New Roman"/>
      <w:b/>
    </w:rPr>
  </w:style>
  <w:style w:type="paragraph" w:styleId="ListNumber">
    <w:name w:val="List Number"/>
    <w:basedOn w:val="List"/>
    <w:rsid w:val="00A75CDE"/>
    <w:pPr>
      <w:numPr>
        <w:numId w:val="14"/>
      </w:numPr>
      <w:tabs>
        <w:tab w:val="clear" w:pos="340"/>
      </w:tabs>
    </w:pPr>
  </w:style>
  <w:style w:type="character" w:customStyle="1" w:styleId="WingdingSymbols">
    <w:name w:val="Wingding Symbols"/>
    <w:rsid w:val="00A75CDE"/>
    <w:rPr>
      <w:rFonts w:ascii="Wingdings" w:hAnsi="Wingdings"/>
    </w:rPr>
  </w:style>
  <w:style w:type="paragraph" w:customStyle="1" w:styleId="TableHeading">
    <w:name w:val="Table Heading"/>
    <w:basedOn w:val="HeadingBase"/>
    <w:rsid w:val="00A75CDE"/>
    <w:pPr>
      <w:keepLines/>
      <w:pBdr>
        <w:bottom w:val="single" w:sz="6" w:space="1" w:color="918585"/>
      </w:pBdr>
      <w:spacing w:before="240"/>
    </w:pPr>
  </w:style>
  <w:style w:type="character" w:customStyle="1" w:styleId="HotSpot">
    <w:name w:val="HotSpot"/>
    <w:rsid w:val="00A75CDE"/>
    <w:rPr>
      <w:color w:val="0033CC"/>
      <w:u w:val="none"/>
    </w:rPr>
  </w:style>
  <w:style w:type="paragraph" w:customStyle="1" w:styleId="BodyTextRight">
    <w:name w:val="Body Text Right"/>
    <w:basedOn w:val="BodyText"/>
    <w:rsid w:val="00A75CDE"/>
    <w:pPr>
      <w:spacing w:before="0" w:after="0"/>
      <w:jc w:val="right"/>
    </w:pPr>
  </w:style>
  <w:style w:type="paragraph" w:styleId="Index3">
    <w:name w:val="index 3"/>
    <w:basedOn w:val="ListNumber2"/>
    <w:next w:val="Normal"/>
    <w:semiHidden/>
    <w:rsid w:val="00A75CDE"/>
    <w:pPr>
      <w:numPr>
        <w:numId w:val="0"/>
      </w:numPr>
      <w:tabs>
        <w:tab w:val="right" w:leader="dot" w:pos="4176"/>
      </w:tabs>
    </w:pPr>
  </w:style>
  <w:style w:type="paragraph" w:styleId="ListNumber2">
    <w:name w:val="List Number 2"/>
    <w:basedOn w:val="List2"/>
    <w:rsid w:val="00A75CDE"/>
    <w:pPr>
      <w:numPr>
        <w:numId w:val="9"/>
      </w:numPr>
      <w:tabs>
        <w:tab w:val="clear" w:pos="1060"/>
      </w:tabs>
    </w:pPr>
  </w:style>
  <w:style w:type="paragraph" w:customStyle="1" w:styleId="MarginNote">
    <w:name w:val="Margin Note"/>
    <w:basedOn w:val="BodyText"/>
    <w:rsid w:val="00A75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5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5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5CDE"/>
    <w:rPr>
      <w:sz w:val="32"/>
    </w:rPr>
  </w:style>
  <w:style w:type="paragraph" w:customStyle="1" w:styleId="HeadingProcedure">
    <w:name w:val="Heading Procedure"/>
    <w:basedOn w:val="HeadingBase"/>
    <w:next w:val="Normal"/>
    <w:rsid w:val="00A75CDE"/>
    <w:pPr>
      <w:tabs>
        <w:tab w:val="left" w:pos="0"/>
      </w:tabs>
      <w:spacing w:before="120" w:after="60"/>
    </w:pPr>
    <w:rPr>
      <w:i/>
      <w:color w:val="918585"/>
      <w:sz w:val="22"/>
    </w:rPr>
  </w:style>
  <w:style w:type="paragraph" w:customStyle="1" w:styleId="TableBodyText">
    <w:name w:val="Table Body Text"/>
    <w:basedOn w:val="BodyText"/>
    <w:rsid w:val="00A75CDE"/>
    <w:pPr>
      <w:spacing w:before="60" w:after="60"/>
    </w:pPr>
  </w:style>
  <w:style w:type="paragraph" w:styleId="ListContinue">
    <w:name w:val="List Continue"/>
    <w:basedOn w:val="List"/>
    <w:rsid w:val="00A75CDE"/>
    <w:pPr>
      <w:ind w:firstLine="0"/>
    </w:pPr>
  </w:style>
  <w:style w:type="paragraph" w:customStyle="1" w:styleId="ListNote">
    <w:name w:val="List Note"/>
    <w:basedOn w:val="List"/>
    <w:rsid w:val="00A75CDE"/>
    <w:pPr>
      <w:pBdr>
        <w:top w:val="single" w:sz="6" w:space="2" w:color="918585"/>
        <w:bottom w:val="single" w:sz="6" w:space="2" w:color="918585"/>
      </w:pBdr>
      <w:tabs>
        <w:tab w:val="left" w:pos="1021"/>
      </w:tabs>
      <w:ind w:firstLine="0"/>
    </w:pPr>
  </w:style>
  <w:style w:type="paragraph" w:customStyle="1" w:styleId="Warning">
    <w:name w:val="Warning"/>
    <w:basedOn w:val="BodyText"/>
    <w:rsid w:val="00A75CDE"/>
    <w:pPr>
      <w:shd w:val="clear" w:color="auto" w:fill="D9D9D9"/>
      <w:tabs>
        <w:tab w:val="left" w:pos="992"/>
      </w:tabs>
      <w:ind w:left="119" w:right="119"/>
    </w:pPr>
    <w:rPr>
      <w:sz w:val="20"/>
    </w:rPr>
  </w:style>
  <w:style w:type="paragraph" w:customStyle="1" w:styleId="MarginIcons">
    <w:name w:val="Margin Icons"/>
    <w:basedOn w:val="BodyText"/>
    <w:rsid w:val="00A75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5CDE"/>
    <w:rPr>
      <w:rFonts w:ascii="Courier New" w:hAnsi="Courier New"/>
    </w:rPr>
  </w:style>
  <w:style w:type="paragraph" w:customStyle="1" w:styleId="NoteBullet">
    <w:name w:val="Note Bullet"/>
    <w:basedOn w:val="Note"/>
    <w:rsid w:val="00A75CDE"/>
    <w:pPr>
      <w:tabs>
        <w:tab w:val="clear" w:pos="680"/>
      </w:tabs>
      <w:spacing w:before="60" w:after="60"/>
    </w:pPr>
  </w:style>
  <w:style w:type="paragraph" w:customStyle="1" w:styleId="SubHeading2">
    <w:name w:val="SubHeading2"/>
    <w:basedOn w:val="HeadingBase"/>
    <w:rsid w:val="00A75CDE"/>
    <w:pPr>
      <w:spacing w:before="240" w:after="60"/>
    </w:pPr>
    <w:rPr>
      <w:sz w:val="20"/>
    </w:rPr>
  </w:style>
  <w:style w:type="paragraph" w:customStyle="1" w:styleId="SubHeading1">
    <w:name w:val="SubHeading1"/>
    <w:basedOn w:val="HeadingBase"/>
    <w:rsid w:val="00A75CDE"/>
    <w:pPr>
      <w:spacing w:before="240" w:after="60"/>
    </w:pPr>
    <w:rPr>
      <w:color w:val="918585"/>
      <w:sz w:val="22"/>
    </w:rPr>
  </w:style>
  <w:style w:type="paragraph" w:customStyle="1" w:styleId="SideHeading">
    <w:name w:val="Side Heading"/>
    <w:basedOn w:val="HeadingBase"/>
    <w:rsid w:val="00A75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5CDE"/>
    <w:pPr>
      <w:numPr>
        <w:numId w:val="10"/>
      </w:numPr>
    </w:pPr>
  </w:style>
  <w:style w:type="paragraph" w:styleId="PlainText">
    <w:name w:val="Plain Text"/>
    <w:basedOn w:val="Normal"/>
    <w:link w:val="PlainTextChar"/>
    <w:rsid w:val="00A75CDE"/>
    <w:rPr>
      <w:sz w:val="20"/>
    </w:rPr>
  </w:style>
  <w:style w:type="character" w:customStyle="1" w:styleId="PlainTextChar">
    <w:name w:val="Plain Text Char"/>
    <w:basedOn w:val="DefaultParagraphFont"/>
    <w:link w:val="PlainText"/>
    <w:rsid w:val="00A75CDE"/>
    <w:rPr>
      <w:rFonts w:ascii="Courier New" w:eastAsia="Times New Roman" w:hAnsi="Courier New" w:cs="Times New Roman"/>
      <w:sz w:val="20"/>
      <w:szCs w:val="20"/>
      <w:lang w:eastAsia="en-US"/>
    </w:rPr>
  </w:style>
  <w:style w:type="character" w:customStyle="1" w:styleId="MenuOption">
    <w:name w:val="Menu Option"/>
    <w:basedOn w:val="DefaultParagraphFont"/>
    <w:rsid w:val="00A75CDE"/>
    <w:rPr>
      <w:b/>
      <w:smallCaps/>
    </w:rPr>
  </w:style>
  <w:style w:type="paragraph" w:customStyle="1" w:styleId="TableListNumber">
    <w:name w:val="Table List Number"/>
    <w:basedOn w:val="ListNumber"/>
    <w:rsid w:val="00A75CDE"/>
    <w:pPr>
      <w:numPr>
        <w:numId w:val="0"/>
      </w:numPr>
    </w:pPr>
  </w:style>
  <w:style w:type="paragraph" w:styleId="TOC4">
    <w:name w:val="toc 4"/>
    <w:basedOn w:val="TOCBase"/>
    <w:next w:val="Normal"/>
    <w:semiHidden/>
    <w:rsid w:val="00A75CDE"/>
    <w:pPr>
      <w:tabs>
        <w:tab w:val="right" w:leader="dot" w:pos="9071"/>
      </w:tabs>
      <w:ind w:left="1701"/>
    </w:pPr>
  </w:style>
  <w:style w:type="paragraph" w:customStyle="1" w:styleId="ListAlpha">
    <w:name w:val="List Alpha"/>
    <w:basedOn w:val="List"/>
    <w:rsid w:val="00A75CDE"/>
    <w:pPr>
      <w:numPr>
        <w:numId w:val="8"/>
      </w:numPr>
    </w:pPr>
  </w:style>
  <w:style w:type="paragraph" w:customStyle="1" w:styleId="ListAlpha2">
    <w:name w:val="List Alpha 2"/>
    <w:basedOn w:val="List2"/>
    <w:rsid w:val="00A75CDE"/>
    <w:pPr>
      <w:numPr>
        <w:numId w:val="7"/>
      </w:numPr>
    </w:pPr>
  </w:style>
  <w:style w:type="paragraph" w:styleId="List2">
    <w:name w:val="List 2"/>
    <w:basedOn w:val="BodyText"/>
    <w:rsid w:val="00A75CDE"/>
    <w:pPr>
      <w:tabs>
        <w:tab w:val="left" w:pos="680"/>
      </w:tabs>
      <w:spacing w:before="60" w:after="60"/>
      <w:ind w:left="680" w:hanging="340"/>
    </w:pPr>
  </w:style>
  <w:style w:type="paragraph" w:styleId="List3">
    <w:name w:val="List 3"/>
    <w:basedOn w:val="BodyText"/>
    <w:rsid w:val="00A75CDE"/>
    <w:pPr>
      <w:tabs>
        <w:tab w:val="left" w:pos="1021"/>
      </w:tabs>
      <w:spacing w:before="60" w:after="60"/>
      <w:ind w:left="1020" w:hanging="340"/>
    </w:pPr>
  </w:style>
  <w:style w:type="paragraph" w:styleId="List4">
    <w:name w:val="List 4"/>
    <w:basedOn w:val="BodyText"/>
    <w:rsid w:val="00A75CDE"/>
    <w:pPr>
      <w:tabs>
        <w:tab w:val="left" w:pos="1361"/>
      </w:tabs>
      <w:spacing w:before="60" w:after="60"/>
      <w:ind w:left="1361" w:hanging="340"/>
    </w:pPr>
  </w:style>
  <w:style w:type="paragraph" w:styleId="List5">
    <w:name w:val="List 5"/>
    <w:basedOn w:val="BodyText"/>
    <w:rsid w:val="00A75CDE"/>
    <w:pPr>
      <w:tabs>
        <w:tab w:val="left" w:pos="1701"/>
      </w:tabs>
      <w:spacing w:before="60" w:after="60"/>
      <w:ind w:left="1701" w:hanging="340"/>
    </w:pPr>
  </w:style>
  <w:style w:type="paragraph" w:styleId="ListBullet3">
    <w:name w:val="List Bullet 3"/>
    <w:basedOn w:val="List3"/>
    <w:rsid w:val="00A75CDE"/>
    <w:pPr>
      <w:numPr>
        <w:numId w:val="13"/>
      </w:numPr>
      <w:tabs>
        <w:tab w:val="clear" w:pos="1021"/>
      </w:tabs>
      <w:ind w:left="1037" w:hanging="357"/>
    </w:pPr>
  </w:style>
  <w:style w:type="paragraph" w:styleId="ListBullet4">
    <w:name w:val="List Bullet 4"/>
    <w:basedOn w:val="List4"/>
    <w:rsid w:val="00A75CDE"/>
    <w:pPr>
      <w:numPr>
        <w:numId w:val="2"/>
      </w:numPr>
      <w:tabs>
        <w:tab w:val="clear" w:pos="1361"/>
      </w:tabs>
    </w:pPr>
  </w:style>
  <w:style w:type="paragraph" w:styleId="ListBullet5">
    <w:name w:val="List Bullet 5"/>
    <w:basedOn w:val="List5"/>
    <w:rsid w:val="00A75CDE"/>
    <w:pPr>
      <w:numPr>
        <w:numId w:val="3"/>
      </w:numPr>
    </w:pPr>
  </w:style>
  <w:style w:type="paragraph" w:styleId="ListContinue2">
    <w:name w:val="List Continue 2"/>
    <w:basedOn w:val="List2"/>
    <w:rsid w:val="00A75CDE"/>
    <w:pPr>
      <w:ind w:firstLine="0"/>
    </w:pPr>
  </w:style>
  <w:style w:type="paragraph" w:styleId="ListContinue3">
    <w:name w:val="List Continue 3"/>
    <w:basedOn w:val="List3"/>
    <w:rsid w:val="00A75CDE"/>
    <w:pPr>
      <w:ind w:left="1021" w:firstLine="0"/>
    </w:pPr>
  </w:style>
  <w:style w:type="paragraph" w:styleId="ListContinue4">
    <w:name w:val="List Continue 4"/>
    <w:basedOn w:val="List4"/>
    <w:rsid w:val="00A75CDE"/>
    <w:pPr>
      <w:ind w:firstLine="0"/>
    </w:pPr>
  </w:style>
  <w:style w:type="paragraph" w:styleId="ListContinue5">
    <w:name w:val="List Continue 5"/>
    <w:basedOn w:val="List5"/>
    <w:rsid w:val="00A75CDE"/>
    <w:pPr>
      <w:ind w:firstLine="0"/>
    </w:pPr>
  </w:style>
  <w:style w:type="paragraph" w:styleId="ListNumber3">
    <w:name w:val="List Number 3"/>
    <w:basedOn w:val="List3"/>
    <w:rsid w:val="00A75CDE"/>
    <w:pPr>
      <w:numPr>
        <w:numId w:val="4"/>
      </w:numPr>
    </w:pPr>
  </w:style>
  <w:style w:type="paragraph" w:styleId="ListNumber4">
    <w:name w:val="List Number 4"/>
    <w:basedOn w:val="List4"/>
    <w:rsid w:val="00A75CDE"/>
    <w:pPr>
      <w:numPr>
        <w:numId w:val="5"/>
      </w:numPr>
    </w:pPr>
  </w:style>
  <w:style w:type="paragraph" w:styleId="ListNumber5">
    <w:name w:val="List Number 5"/>
    <w:basedOn w:val="List5"/>
    <w:rsid w:val="00A75CDE"/>
    <w:pPr>
      <w:numPr>
        <w:numId w:val="6"/>
      </w:numPr>
    </w:pPr>
  </w:style>
  <w:style w:type="paragraph" w:styleId="BlockText">
    <w:name w:val="Block Text"/>
    <w:basedOn w:val="Normal"/>
    <w:rsid w:val="00A75CDE"/>
    <w:pPr>
      <w:spacing w:after="120"/>
      <w:ind w:left="1440" w:right="1440"/>
    </w:pPr>
  </w:style>
  <w:style w:type="character" w:customStyle="1" w:styleId="Subscript">
    <w:name w:val="Subscript"/>
    <w:basedOn w:val="DefaultParagraphFont"/>
    <w:rsid w:val="00A75CDE"/>
    <w:rPr>
      <w:sz w:val="16"/>
      <w:vertAlign w:val="subscript"/>
    </w:rPr>
  </w:style>
  <w:style w:type="character" w:customStyle="1" w:styleId="Superscript">
    <w:name w:val="Superscript"/>
    <w:basedOn w:val="DefaultParagraphFont"/>
    <w:rsid w:val="00A75CDE"/>
    <w:rPr>
      <w:sz w:val="16"/>
      <w:vertAlign w:val="superscript"/>
    </w:rPr>
  </w:style>
  <w:style w:type="character" w:customStyle="1" w:styleId="Symbols">
    <w:name w:val="Symbols"/>
    <w:basedOn w:val="DefaultParagraphFont"/>
    <w:rsid w:val="00A75CDE"/>
    <w:rPr>
      <w:rFonts w:ascii="Symbol" w:hAnsi="Symbol"/>
    </w:rPr>
  </w:style>
  <w:style w:type="character" w:customStyle="1" w:styleId="MenuOptions">
    <w:name w:val="Menu Options"/>
    <w:basedOn w:val="DefaultParagraphFont"/>
    <w:rsid w:val="00A75CDE"/>
    <w:rPr>
      <w:rFonts w:ascii="Arial Narrow" w:hAnsi="Arial Narrow"/>
      <w:smallCaps/>
    </w:rPr>
  </w:style>
  <w:style w:type="character" w:customStyle="1" w:styleId="Buttons">
    <w:name w:val="Buttons"/>
    <w:basedOn w:val="DefaultParagraphFont"/>
    <w:rsid w:val="00A75CDE"/>
    <w:rPr>
      <w:b/>
    </w:rPr>
  </w:style>
  <w:style w:type="character" w:customStyle="1" w:styleId="Underlined">
    <w:name w:val="Underlined"/>
    <w:basedOn w:val="DefaultParagraphFont"/>
    <w:rsid w:val="00A75CDE"/>
    <w:rPr>
      <w:u w:val="single"/>
    </w:rPr>
  </w:style>
  <w:style w:type="paragraph" w:customStyle="1" w:styleId="TableBodyTextRight">
    <w:name w:val="Table Body Text Right"/>
    <w:basedOn w:val="TableBodyText"/>
    <w:rsid w:val="00A75CDE"/>
    <w:pPr>
      <w:widowControl w:val="0"/>
      <w:autoSpaceDE w:val="0"/>
      <w:autoSpaceDN w:val="0"/>
      <w:adjustRightInd w:val="0"/>
      <w:jc w:val="right"/>
    </w:pPr>
    <w:rPr>
      <w:rFonts w:cs="Arial"/>
      <w:szCs w:val="18"/>
    </w:rPr>
  </w:style>
  <w:style w:type="paragraph" w:customStyle="1" w:styleId="CopyrightText">
    <w:name w:val="Copyright Text"/>
    <w:basedOn w:val="BodyText"/>
    <w:rsid w:val="00A75CDE"/>
    <w:rPr>
      <w:sz w:val="18"/>
    </w:rPr>
  </w:style>
  <w:style w:type="paragraph" w:customStyle="1" w:styleId="BodySmallRight">
    <w:name w:val="Body Small Right"/>
    <w:basedOn w:val="BodyTextRight"/>
    <w:rsid w:val="00A75CDE"/>
    <w:rPr>
      <w:sz w:val="18"/>
      <w:szCs w:val="18"/>
    </w:rPr>
  </w:style>
  <w:style w:type="paragraph" w:customStyle="1" w:styleId="MarginEdition">
    <w:name w:val="Margin Edition"/>
    <w:basedOn w:val="MarginNote"/>
    <w:rsid w:val="00A75CDE"/>
    <w:pPr>
      <w:spacing w:before="0" w:after="0"/>
    </w:pPr>
    <w:rPr>
      <w:rFonts w:ascii="Times New Roman" w:hAnsi="Times New Roman"/>
      <w:color w:val="999999"/>
    </w:rPr>
  </w:style>
  <w:style w:type="paragraph" w:customStyle="1" w:styleId="Spacer">
    <w:name w:val="Spacer"/>
    <w:basedOn w:val="Normal"/>
    <w:rsid w:val="00A75CDE"/>
    <w:rPr>
      <w:sz w:val="2"/>
      <w:szCs w:val="2"/>
    </w:rPr>
  </w:style>
  <w:style w:type="character" w:customStyle="1" w:styleId="Small">
    <w:name w:val="Small"/>
    <w:basedOn w:val="DefaultParagraphFont"/>
    <w:rsid w:val="00A75CDE"/>
    <w:rPr>
      <w:sz w:val="16"/>
    </w:rPr>
  </w:style>
  <w:style w:type="paragraph" w:customStyle="1" w:styleId="WideTable">
    <w:name w:val="Wide Table"/>
    <w:basedOn w:val="Normal"/>
    <w:rsid w:val="00A75CDE"/>
    <w:pPr>
      <w:ind w:left="-1418"/>
    </w:pPr>
    <w:rPr>
      <w:sz w:val="2"/>
      <w:szCs w:val="2"/>
    </w:rPr>
  </w:style>
  <w:style w:type="character" w:styleId="PageNumber">
    <w:name w:val="page number"/>
    <w:basedOn w:val="DefaultParagraphFont"/>
    <w:rsid w:val="00A75CDE"/>
  </w:style>
  <w:style w:type="paragraph" w:styleId="Quote">
    <w:name w:val="Quote"/>
    <w:basedOn w:val="Heading1"/>
    <w:link w:val="QuoteChar"/>
    <w:qFormat/>
    <w:rsid w:val="00A75CDE"/>
    <w:rPr>
      <w:b w:val="0"/>
      <w:sz w:val="72"/>
      <w:szCs w:val="72"/>
      <w:lang w:val="en-NZ"/>
    </w:rPr>
  </w:style>
  <w:style w:type="character" w:customStyle="1" w:styleId="QuoteChar">
    <w:name w:val="Quote Char"/>
    <w:basedOn w:val="DefaultParagraphFont"/>
    <w:link w:val="Quote"/>
    <w:rsid w:val="00A75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5CDE"/>
    <w:pPr>
      <w:pageBreakBefore/>
    </w:pPr>
  </w:style>
  <w:style w:type="paragraph" w:customStyle="1" w:styleId="Border">
    <w:name w:val="Border"/>
    <w:basedOn w:val="Normal"/>
    <w:qFormat/>
    <w:rsid w:val="00A75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5CDE"/>
    <w:rPr>
      <w:b/>
      <w:bCs/>
      <w:i/>
      <w:iCs/>
      <w:color w:val="auto"/>
    </w:rPr>
  </w:style>
  <w:style w:type="paragraph" w:styleId="IntenseQuote">
    <w:name w:val="Intense Quote"/>
    <w:basedOn w:val="Normal"/>
    <w:next w:val="Normal"/>
    <w:link w:val="IntenseQuoteChar"/>
    <w:uiPriority w:val="30"/>
    <w:qFormat/>
    <w:rsid w:val="00A75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5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5CDE"/>
    <w:rPr>
      <w:smallCaps/>
      <w:color w:val="auto"/>
      <w:u w:val="single"/>
    </w:rPr>
  </w:style>
  <w:style w:type="character" w:styleId="IntenseReference">
    <w:name w:val="Intense Reference"/>
    <w:basedOn w:val="DefaultParagraphFont"/>
    <w:uiPriority w:val="32"/>
    <w:qFormat/>
    <w:rsid w:val="00A75CDE"/>
    <w:rPr>
      <w:b/>
      <w:bCs/>
      <w:smallCaps/>
      <w:color w:val="auto"/>
      <w:spacing w:val="5"/>
      <w:u w:val="single"/>
    </w:rPr>
  </w:style>
  <w:style w:type="paragraph" w:customStyle="1" w:styleId="2ColumnHeading">
    <w:name w:val="2Column Heading"/>
    <w:basedOn w:val="BodyText"/>
    <w:qFormat/>
    <w:rsid w:val="00A75CDE"/>
    <w:pPr>
      <w:spacing w:after="60"/>
      <w:ind w:left="-2268"/>
    </w:pPr>
    <w:rPr>
      <w:b/>
    </w:rPr>
  </w:style>
  <w:style w:type="paragraph" w:customStyle="1" w:styleId="Heading1TOC">
    <w:name w:val="Heading1 TOC"/>
    <w:basedOn w:val="Normal"/>
    <w:qFormat/>
    <w:rsid w:val="00A75CDE"/>
    <w:pPr>
      <w:spacing w:before="240" w:after="120"/>
    </w:pPr>
    <w:rPr>
      <w:rFonts w:ascii="Times New Roman" w:hAnsi="Times New Roman"/>
      <w:b/>
      <w:sz w:val="32"/>
    </w:rPr>
  </w:style>
  <w:style w:type="paragraph" w:customStyle="1" w:styleId="Heading2TOC">
    <w:name w:val="Heading2 TOC"/>
    <w:basedOn w:val="Normal"/>
    <w:qFormat/>
    <w:rsid w:val="00A75CDE"/>
    <w:pPr>
      <w:spacing w:before="240" w:after="60"/>
    </w:pPr>
    <w:rPr>
      <w:rFonts w:ascii="Times New Roman" w:hAnsi="Times New Roman"/>
      <w:b/>
      <w:sz w:val="28"/>
    </w:rPr>
  </w:style>
  <w:style w:type="character" w:customStyle="1" w:styleId="Underline">
    <w:name w:val="Underline"/>
    <w:basedOn w:val="DefaultParagraphFont"/>
    <w:qFormat/>
    <w:rsid w:val="00A75CDE"/>
    <w:rPr>
      <w:u w:val="single"/>
    </w:rPr>
  </w:style>
  <w:style w:type="character" w:customStyle="1" w:styleId="BoldandItalics">
    <w:name w:val="Bold and Italics"/>
    <w:qFormat/>
    <w:rsid w:val="00A75CDE"/>
    <w:rPr>
      <w:b/>
      <w:i/>
      <w:u w:val="none"/>
    </w:rPr>
  </w:style>
  <w:style w:type="paragraph" w:styleId="BalloonText">
    <w:name w:val="Balloon Text"/>
    <w:basedOn w:val="Normal"/>
    <w:link w:val="BalloonTextChar"/>
    <w:rsid w:val="00A75CDE"/>
    <w:rPr>
      <w:rFonts w:ascii="Tahoma" w:hAnsi="Tahoma" w:cs="Tahoma"/>
      <w:sz w:val="16"/>
      <w:szCs w:val="16"/>
    </w:rPr>
  </w:style>
  <w:style w:type="character" w:customStyle="1" w:styleId="BalloonTextChar">
    <w:name w:val="Balloon Text Char"/>
    <w:basedOn w:val="DefaultParagraphFont"/>
    <w:link w:val="BalloonText"/>
    <w:rsid w:val="00A75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5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5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5CDE"/>
    <w:rPr>
      <w:b/>
      <w:color w:val="660033"/>
      <w:spacing w:val="0"/>
    </w:rPr>
  </w:style>
  <w:style w:type="paragraph" w:customStyle="1" w:styleId="Nameditemlist">
    <w:name w:val="Named item list"/>
    <w:basedOn w:val="BodyText"/>
    <w:qFormat/>
    <w:rsid w:val="00A75CDE"/>
    <w:pPr>
      <w:tabs>
        <w:tab w:val="left" w:pos="2835"/>
      </w:tabs>
      <w:ind w:left="2835" w:hanging="2835"/>
    </w:pPr>
  </w:style>
  <w:style w:type="paragraph" w:customStyle="1" w:styleId="BodyTextnopadding">
    <w:name w:val="Body Text no padding"/>
    <w:basedOn w:val="BodyText"/>
    <w:qFormat/>
    <w:rsid w:val="00A75CDE"/>
    <w:pPr>
      <w:spacing w:before="0" w:after="0"/>
    </w:pPr>
  </w:style>
  <w:style w:type="paragraph" w:customStyle="1" w:styleId="BodyTextBold">
    <w:name w:val="Body Text Bold"/>
    <w:basedOn w:val="BodyText"/>
    <w:qFormat/>
    <w:rsid w:val="00A75CDE"/>
    <w:rPr>
      <w:b/>
    </w:rPr>
  </w:style>
  <w:style w:type="character" w:styleId="Hyperlink">
    <w:name w:val="Hyperlink"/>
    <w:basedOn w:val="DefaultParagraphFont"/>
    <w:uiPriority w:val="99"/>
    <w:unhideWhenUsed/>
    <w:rsid w:val="00D601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4428</Characters>
  <Application>Microsoft Office Word</Application>
  <DocSecurity>0</DocSecurity>
  <Lines>221</Lines>
  <Paragraphs>127</Paragraphs>
  <ScaleCrop>false</ScaleCrop>
  <Company>Author-it Software Corporation Ltd.</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MEM18094 Service and repair commercial refrigeration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2023-02-03T06:55:00Z</dcterms:created>
  <dcterms:modified xsi:type="dcterms:W3CDTF">2023-02-03T06:55:00Z</dcterms:modified>
</cp:coreProperties>
</file>