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2A5" w:rsidP="003A02A5">
      <w:pPr>
        <w:pStyle w:val="Title"/>
      </w:pPr>
      <w:r>
        <w:fldChar w:fldCharType="begin"/>
      </w:r>
      <w:r>
        <w:instrText xml:space="preserve"> TITLE   \* MERGEFORMAT </w:instrText>
      </w:r>
      <w:r>
        <w:fldChar w:fldCharType="separate"/>
      </w:r>
      <w:r>
        <w:t>MEM18092 Maintain and repair commercial and/or industrial refrigeration and/or air conditioning controls</w:t>
      </w:r>
      <w:r>
        <w:fldChar w:fldCharType="end"/>
      </w:r>
    </w:p>
    <w:p w:rsidR="003A02A5" w:rsidP="003A02A5">
      <w:pPr>
        <w:pStyle w:val="Version"/>
        <w:sectPr w:rsidSect="00E86C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CEF" w:rsidP="00E86CEF">
      <w:pPr>
        <w:pStyle w:val="SuperHeading"/>
      </w:pPr>
      <w:r w:rsidRPr="00E86CEF">
        <w:t>MEM18092 Main</w:t>
      </w:r>
      <w:r w:rsidRPr="00E86CEF">
        <w:t>tain and repair commercial and/or industrial refrigeration and/or air conditioning controls</w:t>
      </w:r>
    </w:p>
    <w:p w:rsidR="00000000" w:rsidRPr="00E86CEF" w:rsidP="00E86CEF">
      <w:pPr>
        <w:pStyle w:val="Heading1"/>
      </w:pPr>
      <w:bookmarkStart w:id="1" w:name="O_941788"/>
      <w:bookmarkEnd w:id="1"/>
      <w:r w:rsidRPr="00E86CEF">
        <w:t>Modification History</w:t>
      </w:r>
    </w:p>
    <w:p w:rsidR="00000000" w:rsidRPr="00E86CEF" w:rsidP="003A02A5">
      <w:pPr>
        <w:pStyle w:val="BodyText"/>
      </w:pPr>
      <w:r w:rsidRPr="00E86CEF">
        <w:t xml:space="preserve">Release 1. Supersedes and is equivalent to MEM18092B Maintain and repair commercial </w:t>
      </w:r>
      <w:r w:rsidRPr="00E86CEF">
        <w:t xml:space="preserve">and/or industrial refrigeration and/or air conditioning controls </w:t>
      </w:r>
    </w:p>
    <w:p w:rsidR="00000000" w:rsidRPr="00E86CEF" w:rsidP="00E86CEF">
      <w:pPr>
        <w:pStyle w:val="Heading1"/>
      </w:pPr>
      <w:bookmarkStart w:id="2" w:name="O_941796"/>
      <w:bookmarkEnd w:id="2"/>
      <w:r w:rsidRPr="00E86CEF">
        <w:t>Application</w:t>
      </w:r>
    </w:p>
    <w:p w:rsidR="00000000" w:rsidRPr="00E86CEF" w:rsidP="003A02A5">
      <w:pPr>
        <w:pStyle w:val="BodyText"/>
      </w:pPr>
      <w:r w:rsidRPr="00E86CEF">
        <w:t>This unit of competency defines the skills and knowledge required to repair or replace commercial and/or industrial refrigeration and/or commercial air condition</w:t>
      </w:r>
      <w:r w:rsidRPr="00E86CEF">
        <w:t>ing controls.</w:t>
      </w:r>
    </w:p>
    <w:p w:rsidR="00000000" w:rsidRPr="00E86CEF" w:rsidP="003A02A5">
      <w:pPr>
        <w:pStyle w:val="BodyText"/>
      </w:pPr>
      <w:r w:rsidRPr="00E86CEF">
        <w:t>This unit applies to the installation, adjustment, repairs, replacements and overhauls undertaken to site or manufacturers</w:t>
      </w:r>
      <w:r>
        <w:t>’</w:t>
      </w:r>
      <w:r w:rsidRPr="00E86CEF">
        <w:t xml:space="preserve"> specifications, using application of principles of domestic refrigeration and/or commercial air conditioning control </w:t>
      </w:r>
      <w:r w:rsidRPr="00E86CEF">
        <w:t>sequencing.</w:t>
      </w:r>
    </w:p>
    <w:p w:rsidR="00000000" w:rsidRPr="00E86CEF" w:rsidP="003A02A5">
      <w:pPr>
        <w:pStyle w:val="BodyText"/>
      </w:pPr>
      <w:r w:rsidRPr="00E86CEF">
        <w:t xml:space="preserve">A Refrigerant Handling Licence must be held by any person who carries out work in relation to refrigeration and air conditioning equipment. </w:t>
      </w:r>
    </w:p>
    <w:p w:rsidR="00000000" w:rsidRPr="00E86CEF" w:rsidP="003A02A5">
      <w:pPr>
        <w:pStyle w:val="Heading3"/>
      </w:pPr>
      <w:r w:rsidRPr="00E86CEF">
        <w:rPr>
          <w:rStyle w:val="SpecialBold"/>
        </w:rPr>
        <w:t>Band: B</w:t>
      </w:r>
    </w:p>
    <w:p w:rsidR="00000000" w:rsidRPr="00E86CEF" w:rsidP="003A02A5">
      <w:pPr>
        <w:pStyle w:val="Heading3"/>
      </w:pPr>
      <w:r w:rsidRPr="00E86CEF">
        <w:rPr>
          <w:rStyle w:val="SpecialBold"/>
        </w:rPr>
        <w:t>Unit Weight</w:t>
      </w:r>
      <w:r w:rsidRPr="00E86CEF">
        <w:t>:</w:t>
      </w:r>
      <w:r w:rsidRPr="00E86CEF">
        <w:tab/>
      </w:r>
      <w:r w:rsidRPr="00E86CEF">
        <w:rPr>
          <w:rStyle w:val="SpecialBold"/>
        </w:rPr>
        <w:t>6</w:t>
      </w:r>
    </w:p>
    <w:p w:rsidR="00000000" w:rsidRPr="00E86CEF" w:rsidP="00E86CEF">
      <w:pPr>
        <w:pStyle w:val="Heading1"/>
      </w:pPr>
      <w:bookmarkStart w:id="3" w:name="O_941795"/>
      <w:bookmarkEnd w:id="3"/>
      <w:r w:rsidRPr="00E86CEF">
        <w:t>Pre-requisite Unit</w:t>
      </w:r>
    </w:p>
    <w:tbl>
      <w:tblPr>
        <w:tblW w:w="0" w:type="auto"/>
        <w:tblLayout w:type="fixed"/>
        <w:tblCellMar>
          <w:left w:w="62" w:type="dxa"/>
          <w:right w:w="62" w:type="dxa"/>
        </w:tblCellMar>
        <w:tblLook w:val="0000"/>
      </w:tblPr>
      <w:tblGrid>
        <w:gridCol w:w="2204"/>
        <w:gridCol w:w="6360"/>
      </w:tblGrid>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MEM09002</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Interpret technical drawing</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w:t>
            </w:r>
            <w:r w:rsidRPr="00E86CEF">
              <w:t>1011</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Undertake manual handling</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MEM12002</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Perform electrical/electronic measurement</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MEM12023</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Perform engineering measurements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MEM12024</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Perform computations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MEM13015</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Work safely and effectively in manufacturing and engineering</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MEM14006</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Plan work activities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MEM16006</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Organise and communicate information</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MEM18001</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Use hand tools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MEM18002</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Use power tools/hand held operations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MEM18055</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Dismantle, replace and assemble engineering components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MEM18086</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Test, recover, evacuate and charge refrigeration systems</w:t>
            </w:r>
          </w:p>
        </w:tc>
      </w:tr>
      <w:tr w:rsidTr="00E86CEF">
        <w:tblPrEx>
          <w:tblW w:w="0" w:type="auto"/>
          <w:tblLayout w:type="fixed"/>
          <w:tblCellMar>
            <w:left w:w="62" w:type="dxa"/>
            <w:right w:w="62" w:type="dxa"/>
          </w:tblCellMar>
          <w:tblLook w:val="0000"/>
        </w:tblPrEx>
        <w:tc>
          <w:tcPr>
            <w:tcW w:w="8564" w:type="dxa"/>
            <w:gridSpan w:val="2"/>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Plus, one or more of the following, including their prerequisites: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MEM18088</w:t>
            </w:r>
          </w:p>
        </w:tc>
        <w:tc>
          <w:tcPr>
            <w:tcW w:w="636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Maintain and repair commercial air conditioning systems and components</w:t>
            </w:r>
          </w:p>
        </w:tc>
      </w:tr>
      <w:tr w:rsidTr="00E86CEF">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MEM18090</w:t>
            </w:r>
          </w:p>
        </w:tc>
        <w:tc>
          <w:tcPr>
            <w:tcW w:w="6360"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Maintain and repair industrial refriger</w:t>
            </w:r>
            <w:r w:rsidRPr="00E86CEF">
              <w:t>ation systems and components</w:t>
            </w:r>
          </w:p>
        </w:tc>
      </w:tr>
    </w:tbl>
    <w:p w:rsidR="00000000" w:rsidRPr="00E86CEF" w:rsidP="00E86CEF">
      <w:pPr>
        <w:pStyle w:val="BodyText"/>
      </w:pPr>
    </w:p>
    <w:p w:rsidR="00000000" w:rsidRPr="00E86CEF" w:rsidP="00E86CEF">
      <w:pPr>
        <w:pStyle w:val="AllowPageBreak"/>
      </w:pPr>
    </w:p>
    <w:p w:rsidR="00000000" w:rsidRPr="00E86CEF" w:rsidP="00E86CEF">
      <w:pPr>
        <w:pStyle w:val="Heading1"/>
      </w:pPr>
      <w:bookmarkStart w:id="4" w:name="O_941794"/>
      <w:bookmarkEnd w:id="4"/>
      <w:r w:rsidRPr="00E86CEF">
        <w:t>Competency Field</w:t>
      </w:r>
    </w:p>
    <w:p w:rsidR="00000000" w:rsidRPr="00E86CEF" w:rsidP="003A02A5">
      <w:pPr>
        <w:pStyle w:val="BodyText"/>
      </w:pPr>
      <w:r w:rsidRPr="00E86CEF">
        <w:t>Maintenance and diagnostics</w:t>
      </w:r>
    </w:p>
    <w:p w:rsidR="00000000" w:rsidRPr="00E86CEF" w:rsidP="00E86CEF">
      <w:pPr>
        <w:pStyle w:val="Heading1"/>
      </w:pPr>
      <w:bookmarkStart w:id="5" w:name="O_941792"/>
      <w:bookmarkEnd w:id="5"/>
      <w:r w:rsidRPr="00E86CEF">
        <w:t>Elements and Performance Criteria</w:t>
      </w:r>
    </w:p>
    <w:tbl>
      <w:tblPr>
        <w:tblW w:w="0" w:type="auto"/>
        <w:tblLayout w:type="fixed"/>
        <w:tblCellMar>
          <w:left w:w="62" w:type="dxa"/>
          <w:right w:w="62" w:type="dxa"/>
        </w:tblCellMar>
        <w:tblLook w:val="0000"/>
      </w:tblPr>
      <w:tblGrid>
        <w:gridCol w:w="682"/>
        <w:gridCol w:w="1972"/>
        <w:gridCol w:w="818"/>
        <w:gridCol w:w="5670"/>
      </w:tblGrid>
      <w:tr w:rsidTr="00E86CEF">
        <w:tblPrEx>
          <w:tblW w:w="0" w:type="auto"/>
          <w:tblLayout w:type="fixed"/>
          <w:tblCellMar>
            <w:left w:w="62" w:type="dxa"/>
            <w:right w:w="62" w:type="dxa"/>
          </w:tblCellMar>
          <w:tblLook w:val="0000"/>
        </w:tblPrEx>
        <w:trPr>
          <w:tblHeader/>
        </w:trPr>
        <w:tc>
          <w:tcPr>
            <w:tcW w:w="2654" w:type="dxa"/>
            <w:gridSpan w:val="2"/>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Elements describe the essential outcomes.</w:t>
            </w:r>
          </w:p>
        </w:tc>
        <w:tc>
          <w:tcPr>
            <w:tcW w:w="6488" w:type="dxa"/>
            <w:gridSpan w:val="2"/>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Performance criteria describe the performance needed to demonstrate achievement of the element.</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1</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Determine job requirements</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1.1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Follow standard operating procedures (SOPs)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1.2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Comply with work health and safety (WHS) requirements at all times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1.3</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Use appropriate personal protective equipment (PPE) in accordance with SOPs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1.4</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Identify job requirements from specifications, drawings, job sheets or work instructions</w:t>
            </w:r>
          </w:p>
        </w:tc>
      </w:tr>
      <w:tr w:rsidTr="00E86CEF">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2</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Install/replace refrigeration/air conditioning controls</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2.1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Identify control circuit components and inspect for compliance to specification</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2.2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Undertake sequential installation according to manufacturers</w:t>
            </w:r>
            <w:r>
              <w:t>’</w:t>
            </w:r>
            <w:r w:rsidRPr="00E86CEF">
              <w:t xml:space="preserve"> specifications and procedures</w:t>
            </w:r>
          </w:p>
        </w:tc>
      </w:tr>
      <w:tr w:rsidTr="00E86CEF">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3</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 xml:space="preserve">Check and adjust refrigeration/air </w:t>
            </w:r>
            <w:r w:rsidRPr="00E86CEF">
              <w:rPr>
                <w:rStyle w:val="SpecialBold"/>
              </w:rPr>
              <w:t>conditioning control seq</w:t>
            </w:r>
            <w:r w:rsidRPr="00E86CEF">
              <w:rPr>
                <w:rStyle w:val="SpecialBold"/>
              </w:rPr>
              <w:t>uence and operation</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3.1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 xml:space="preserve">Check the temperature, quality, pressure and properties of the air delivered by the air conditioning system for </w:t>
            </w:r>
            <w:r w:rsidRPr="00E86CEF">
              <w:t>conformance to specification</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3.2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Check controls operation against operational specifications using appropriate test equipment and application principles/techniques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3.3</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Perform adjustments to control sequence to meet/align to operational requirements and specifications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3.4</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Record mod</w:t>
            </w:r>
            <w:r w:rsidRPr="00E86CEF">
              <w:t>ifications/alterations and report according to SOPs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3.5</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Check controls operation and return to service to specification</w:t>
            </w:r>
          </w:p>
        </w:tc>
      </w:tr>
      <w:tr w:rsidTr="00E86CEF">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4</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Fault find refrigeration/air conditioning control circuits</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4.1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Identify and inspect control circuit components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4.2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Trace control circuit and diagnose action of components to identify and localise faults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4.3</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Test control circuit parts using appropriate test equipment and application principles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4.4</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Assess control circuit parts against operational specification</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4.5</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Localise fault condition at the component level, evaluate faulty condition, analyse root cause and plan corrective action</w:t>
            </w:r>
          </w:p>
        </w:tc>
      </w:tr>
      <w:tr w:rsidTr="00E86CEF">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5</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Maintain, repair/replace control components</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5.1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Apply correct maintenance procedures according to procedures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5.2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Use appropriate tools, equipment and techniques to test faulty items and repair or replace using sequential installation procedures according to manufacturers</w:t>
            </w:r>
            <w:r>
              <w:t>’</w:t>
            </w:r>
            <w:r w:rsidRPr="00E86CEF">
              <w:t xml:space="preserve"> specifications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5.3</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Select replacement items from manufacturers</w:t>
            </w:r>
            <w:r>
              <w:t>’</w:t>
            </w:r>
            <w:r w:rsidRPr="00E86CEF">
              <w:t xml:space="preserve"> catalogues </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5.4</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Reassemble</w:t>
            </w:r>
            <w:r w:rsidRPr="00E86CEF">
              <w:t xml:space="preserve"> control components according to specification</w:t>
            </w:r>
          </w:p>
        </w:tc>
      </w:tr>
      <w:tr w:rsidTr="00E86CEF">
        <w:tblPrEx>
          <w:tblW w:w="0" w:type="auto"/>
          <w:tblLayout w:type="fixed"/>
          <w:tblCellMar>
            <w:left w:w="62" w:type="dxa"/>
            <w:right w:w="62" w:type="dxa"/>
          </w:tblCellMar>
          <w:tblLook w:val="0000"/>
        </w:tblPrEx>
        <w:tc>
          <w:tcPr>
            <w:tcW w:w="9142" w:type="dxa"/>
            <w:gridSpan w:val="4"/>
            <w:tcBorders>
              <w:top w:val="nil"/>
              <w:left w:val="nil"/>
              <w:bottom w:val="nil"/>
              <w:right w:val="nil"/>
            </w:tcBorders>
            <w:tcMar>
              <w:top w:w="0" w:type="dxa"/>
              <w:left w:w="62" w:type="dxa"/>
              <w:bottom w:w="0" w:type="dxa"/>
              <w:right w:w="62" w:type="dxa"/>
            </w:tcMar>
          </w:tcPr>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6</w:t>
            </w:r>
          </w:p>
        </w:tc>
        <w:tc>
          <w:tcPr>
            <w:tcW w:w="1972" w:type="dxa"/>
            <w:vMerge w:val="restart"/>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Check and adjust sequence of refrigeration/air conditioning controls</w:t>
            </w: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6.1</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 xml:space="preserve">Identify sensors and controllers </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6.2</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Make necessary adjustments to sequence control circuit and check correct operation to meet operational specification</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6.3</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Return refrigeration/air conditioning controls to service to specification</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6.4</w:t>
            </w:r>
          </w:p>
        </w:tc>
        <w:tc>
          <w:tcPr>
            <w:tcW w:w="5670"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Adopt appropriate follow-up procedures</w:t>
            </w:r>
          </w:p>
        </w:tc>
      </w:tr>
      <w:tr w:rsidTr="00E86CEF">
        <w:tblPrEx>
          <w:tblW w:w="0" w:type="auto"/>
          <w:tblLayout w:type="fixed"/>
          <w:tblCellMar>
            <w:left w:w="62" w:type="dxa"/>
            <w:right w:w="62" w:type="dxa"/>
          </w:tblCellMar>
          <w:tblLook w:val="0000"/>
        </w:tblPrEx>
        <w:tc>
          <w:tcPr>
            <w:tcW w:w="68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8"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6.5</w:t>
            </w:r>
          </w:p>
        </w:tc>
        <w:tc>
          <w:tcPr>
            <w:tcW w:w="5670" w:type="dxa"/>
            <w:tcBorders>
              <w:top w:val="nil"/>
              <w:left w:val="nil"/>
              <w:bottom w:val="nil"/>
              <w:right w:val="nil"/>
            </w:tcBorders>
            <w:tcMar>
              <w:top w:w="0" w:type="dxa"/>
              <w:left w:w="62" w:type="dxa"/>
              <w:bottom w:w="0" w:type="dxa"/>
              <w:right w:w="62" w:type="dxa"/>
            </w:tcMar>
          </w:tcPr>
          <w:p w:rsidR="00000000" w:rsidRPr="00E86CEF" w:rsidP="00E86CEF">
            <w:pPr>
              <w:pStyle w:val="BodyText"/>
            </w:pPr>
            <w:r w:rsidRPr="00E86CEF">
              <w:t>Complete service/maintenance report in accordance with SOPs</w:t>
            </w:r>
          </w:p>
        </w:tc>
      </w:tr>
    </w:tbl>
    <w:p w:rsidR="00000000" w:rsidRPr="00E86CEF" w:rsidP="00E86CEF">
      <w:pPr>
        <w:pStyle w:val="BodyText"/>
      </w:pPr>
    </w:p>
    <w:p w:rsidR="00000000" w:rsidRPr="00E86CEF" w:rsidP="00E86CEF">
      <w:pPr>
        <w:pStyle w:val="AllowPageBreak"/>
      </w:pPr>
    </w:p>
    <w:p w:rsidR="00000000" w:rsidRPr="00E86CEF" w:rsidP="00E86CEF">
      <w:pPr>
        <w:pStyle w:val="Heading1"/>
      </w:pPr>
      <w:bookmarkStart w:id="6" w:name="O_941791"/>
      <w:bookmarkEnd w:id="6"/>
      <w:r w:rsidRPr="00E86CEF">
        <w:t>Foundation Skills</w:t>
      </w:r>
    </w:p>
    <w:p w:rsidR="00000000" w:rsidRPr="00E86CEF" w:rsidP="003A02A5">
      <w:pPr>
        <w:pStyle w:val="BodyText"/>
      </w:pPr>
      <w:r w:rsidRPr="00E86CEF">
        <w:t>This section describes those required skills (reading, writing, oral communication and numeracy) that are essential to workplace performance in this unit of co</w:t>
      </w:r>
      <w:r w:rsidRPr="00E86CEF">
        <w:t xml:space="preserve">mpetency.  </w:t>
      </w:r>
    </w:p>
    <w:p w:rsidR="00000000" w:rsidRPr="00E86CEF" w:rsidP="003A02A5">
      <w:pPr>
        <w:pStyle w:val="BodyText"/>
      </w:pPr>
      <w:r w:rsidRPr="00E86CEF">
        <w:t>Foundation skills essential to performance are explicit in the performance criteria of this unit of competency.</w:t>
      </w:r>
    </w:p>
    <w:p w:rsidR="00000000" w:rsidRPr="00E86CEF" w:rsidP="00E86CEF">
      <w:pPr>
        <w:pStyle w:val="Heading1"/>
      </w:pPr>
      <w:bookmarkStart w:id="7" w:name="O_941790"/>
      <w:bookmarkEnd w:id="7"/>
      <w:r w:rsidRPr="00E86CEF">
        <w:t>Range of Conditions</w:t>
      </w:r>
    </w:p>
    <w:tbl>
      <w:tblPr>
        <w:tblW w:w="0" w:type="auto"/>
        <w:tblLayout w:type="fixed"/>
        <w:tblCellMar>
          <w:left w:w="62" w:type="dxa"/>
          <w:right w:w="62" w:type="dxa"/>
        </w:tblCellMar>
        <w:tblLook w:val="0000"/>
      </w:tblPr>
      <w:tblGrid>
        <w:gridCol w:w="2641"/>
        <w:gridCol w:w="6501"/>
      </w:tblGrid>
      <w:tr w:rsidTr="00E86CEF">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t>This field allows for different work environments and conditions that may affect performance. Essential operating conditions that may be present (depending on the work situation, needs of the candidate, accessibility of the item, and local industry and reg</w:t>
            </w:r>
            <w:r w:rsidRPr="00E86CEF">
              <w:t>ional contexts) are included.</w:t>
            </w:r>
          </w:p>
        </w:tc>
      </w:tr>
      <w:tr w:rsidTr="00E86CE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Control sequencing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86CEF" w:rsidP="00E86CEF">
            <w:pPr>
              <w:pStyle w:val="ListBullet"/>
            </w:pPr>
            <w:r w:rsidRPr="00E86CEF">
              <w:t>programmable logic controllers (PLCs)</w:t>
            </w:r>
          </w:p>
          <w:p w:rsidR="00000000" w:rsidRPr="00E86CEF" w:rsidP="00E86CEF">
            <w:pPr>
              <w:pStyle w:val="ListBullet"/>
            </w:pPr>
            <w:r w:rsidRPr="00E86CEF">
              <w:t>relay logic control systems</w:t>
            </w:r>
          </w:p>
          <w:p w:rsidR="00000000" w:rsidRPr="00E86CEF" w:rsidP="00E86CEF">
            <w:pPr>
              <w:pStyle w:val="ListBullet"/>
            </w:pPr>
            <w:r w:rsidRPr="00E86CEF">
              <w:t>unitised/modular sensors</w:t>
            </w:r>
          </w:p>
          <w:p w:rsidR="00000000" w:rsidRPr="00E86CEF" w:rsidP="00E86CEF">
            <w:pPr>
              <w:pStyle w:val="ListBullet"/>
            </w:pPr>
            <w:r w:rsidRPr="00E86CEF">
              <w:t>transducers</w:t>
            </w:r>
          </w:p>
          <w:p w:rsidR="00000000" w:rsidRPr="00E86CEF" w:rsidP="00E86CEF">
            <w:pPr>
              <w:pStyle w:val="ListBullet"/>
            </w:pPr>
            <w:r w:rsidRPr="00E86CEF">
              <w:t>timers</w:t>
            </w:r>
          </w:p>
          <w:p w:rsidR="00000000" w:rsidRPr="00E86CEF" w:rsidP="00E86CEF">
            <w:pPr>
              <w:pStyle w:val="ListBullet"/>
            </w:pPr>
            <w:r w:rsidRPr="00E86CEF">
              <w:t xml:space="preserve">counters </w:t>
            </w:r>
          </w:p>
          <w:p w:rsidR="00000000" w:rsidRPr="00E86CEF" w:rsidP="00E86CEF">
            <w:pPr>
              <w:pStyle w:val="ListBullet"/>
            </w:pPr>
            <w:r w:rsidRPr="00E86CEF">
              <w:t>associated equipment</w:t>
            </w:r>
          </w:p>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86CEF" w:rsidP="00E86CEF">
            <w:pPr>
              <w:pStyle w:val="ListBullet"/>
            </w:pPr>
            <w:r w:rsidRPr="00E86CEF">
              <w:t>pressure gauges</w:t>
            </w:r>
          </w:p>
          <w:p w:rsidR="00000000" w:rsidRPr="00E86CEF" w:rsidP="00E86CEF">
            <w:pPr>
              <w:pStyle w:val="ListBullet"/>
            </w:pPr>
            <w:r w:rsidRPr="00E86CEF">
              <w:t>multimeters</w:t>
            </w:r>
          </w:p>
          <w:p w:rsidR="00000000" w:rsidRPr="00E86CEF" w:rsidP="00E86CEF">
            <w:pPr>
              <w:pStyle w:val="ListBullet"/>
            </w:pPr>
            <w:r w:rsidRPr="00E86CEF">
              <w:t>ampmeters</w:t>
            </w:r>
          </w:p>
          <w:p w:rsidR="00000000" w:rsidRPr="00E86CEF" w:rsidP="00E86CEF">
            <w:pPr>
              <w:pStyle w:val="ListBullet"/>
            </w:pPr>
            <w:r w:rsidRPr="00E86CEF">
              <w:t>insulation resistance tester</w:t>
            </w:r>
          </w:p>
          <w:p w:rsidR="00000000" w:rsidRPr="00E86CEF" w:rsidP="00E86CEF">
            <w:pPr>
              <w:pStyle w:val="ListBullet"/>
            </w:pPr>
            <w:r w:rsidRPr="00E86CEF">
              <w:t>cable analyser</w:t>
            </w:r>
          </w:p>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Modifications</w:t>
            </w:r>
            <w:r w:rsidRPr="00E86CEF">
              <w:t>/</w:t>
            </w:r>
            <w:r w:rsidRPr="00E86CEF">
              <w:rPr>
                <w:rStyle w:val="SpecialBold"/>
              </w:rPr>
              <w:t>alterations include (1) one or more of the following:</w:t>
            </w:r>
          </w:p>
        </w:tc>
        <w:tc>
          <w:tcPr>
            <w:tcW w:w="6501" w:type="dxa"/>
            <w:tcBorders>
              <w:top w:val="nil"/>
              <w:left w:val="nil"/>
              <w:bottom w:val="nil"/>
              <w:right w:val="nil"/>
            </w:tcBorders>
            <w:tcMar>
              <w:top w:w="0" w:type="dxa"/>
              <w:left w:w="62" w:type="dxa"/>
              <w:bottom w:w="0" w:type="dxa"/>
              <w:right w:w="62" w:type="dxa"/>
            </w:tcMar>
          </w:tcPr>
          <w:p w:rsidR="00000000" w:rsidRPr="00E86CEF" w:rsidP="00E86CEF">
            <w:pPr>
              <w:pStyle w:val="ListBullet"/>
            </w:pPr>
            <w:r w:rsidRPr="00E86CEF">
              <w:t>pressure control settings</w:t>
            </w:r>
          </w:p>
          <w:p w:rsidR="00000000" w:rsidRPr="00E86CEF" w:rsidP="00E86CEF">
            <w:pPr>
              <w:pStyle w:val="ListBullet"/>
            </w:pPr>
            <w:r w:rsidRPr="00E86CEF">
              <w:t>timer settings</w:t>
            </w:r>
          </w:p>
          <w:p w:rsidR="00000000" w:rsidRPr="00E86CEF" w:rsidP="00E86CEF">
            <w:pPr>
              <w:pStyle w:val="ListBullet"/>
            </w:pPr>
            <w:r w:rsidRPr="00E86CEF">
              <w:t>the</w:t>
            </w:r>
            <w:r w:rsidRPr="00E86CEF">
              <w:t>rmostat settings</w:t>
            </w:r>
          </w:p>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Corrective action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E86CEF" w:rsidP="00E86CEF">
            <w:pPr>
              <w:pStyle w:val="ListBullet"/>
            </w:pPr>
            <w:r w:rsidRPr="00E86CEF">
              <w:t>replacement</w:t>
            </w:r>
          </w:p>
          <w:p w:rsidR="00000000" w:rsidRPr="00E86CEF" w:rsidP="00E86CEF">
            <w:pPr>
              <w:pStyle w:val="ListBullet"/>
            </w:pPr>
            <w:r w:rsidRPr="00E86CEF">
              <w:t>repair</w:t>
            </w:r>
          </w:p>
          <w:p w:rsidR="00000000" w:rsidRPr="00E86CEF" w:rsidP="00E86CEF">
            <w:pPr>
              <w:pStyle w:val="ListBullet"/>
            </w:pPr>
            <w:r w:rsidRPr="00E86CEF">
              <w:t>adjustment</w:t>
            </w:r>
          </w:p>
          <w:p w:rsidR="00000000" w:rsidP="00E86CEF">
            <w:pPr>
              <w:pStyle w:val="BodyText"/>
              <w:rPr>
                <w:lang w:val="en-NZ"/>
              </w:rPr>
            </w:pPr>
          </w:p>
        </w:tc>
      </w:tr>
      <w:tr w:rsidTr="00E86CE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E86CEF">
            <w:pPr>
              <w:pStyle w:val="BodyText"/>
              <w:rPr>
                <w:lang w:val="en-NZ"/>
              </w:rPr>
            </w:pPr>
            <w:r w:rsidRPr="00E86CEF">
              <w:rPr>
                <w:rStyle w:val="SpecialBold"/>
              </w:rPr>
              <w:t>Maintenance procedures include the following:</w:t>
            </w:r>
          </w:p>
        </w:tc>
        <w:tc>
          <w:tcPr>
            <w:tcW w:w="6501" w:type="dxa"/>
            <w:tcBorders>
              <w:top w:val="nil"/>
              <w:left w:val="nil"/>
              <w:bottom w:val="nil"/>
              <w:right w:val="nil"/>
            </w:tcBorders>
            <w:tcMar>
              <w:top w:w="0" w:type="dxa"/>
              <w:left w:w="62" w:type="dxa"/>
              <w:bottom w:w="0" w:type="dxa"/>
              <w:right w:w="62" w:type="dxa"/>
            </w:tcMar>
          </w:tcPr>
          <w:p w:rsidR="00000000" w:rsidRPr="00E86CEF" w:rsidP="00E86CEF">
            <w:pPr>
              <w:pStyle w:val="ListBullet"/>
            </w:pPr>
            <w:r w:rsidRPr="00E86CEF">
              <w:t>overhaul of major system components</w:t>
            </w:r>
          </w:p>
          <w:p w:rsidR="00000000" w:rsidRPr="00E86CEF" w:rsidP="00E86CEF">
            <w:pPr>
              <w:pStyle w:val="ListBullet"/>
            </w:pPr>
            <w:r w:rsidRPr="00E86CEF">
              <w:t>cleaning of major system components</w:t>
            </w:r>
          </w:p>
          <w:p w:rsidR="00000000" w:rsidRPr="00E86CEF" w:rsidP="00E86CEF">
            <w:pPr>
              <w:pStyle w:val="ListBullet"/>
            </w:pPr>
            <w:r w:rsidRPr="00E86CEF">
              <w:t>testi</w:t>
            </w:r>
            <w:r w:rsidRPr="00E86CEF">
              <w:t>ng operation of all control and safety devices</w:t>
            </w:r>
          </w:p>
          <w:p w:rsidR="00000000" w:rsidRPr="00E86CEF" w:rsidP="00E86CEF">
            <w:pPr>
              <w:pStyle w:val="BodyText"/>
            </w:pPr>
          </w:p>
        </w:tc>
      </w:tr>
    </w:tbl>
    <w:p w:rsidR="00000000" w:rsidRPr="00E86CEF" w:rsidP="00E86CEF">
      <w:pPr>
        <w:pStyle w:val="BodyText"/>
      </w:pPr>
    </w:p>
    <w:p w:rsidR="00000000" w:rsidRPr="00E86CEF" w:rsidP="00E86CEF">
      <w:pPr>
        <w:pStyle w:val="AllowPageBreak"/>
      </w:pPr>
    </w:p>
    <w:p w:rsidR="00000000" w:rsidRPr="00E86CEF" w:rsidP="00E86CEF">
      <w:pPr>
        <w:pStyle w:val="Heading1"/>
      </w:pPr>
      <w:bookmarkStart w:id="8" w:name="O_941789"/>
      <w:bookmarkEnd w:id="8"/>
      <w:r w:rsidRPr="00E86CEF">
        <w:t>Unit Mapping Information</w:t>
      </w:r>
    </w:p>
    <w:p w:rsidR="00000000" w:rsidRPr="00E86CEF" w:rsidP="003A02A5">
      <w:pPr>
        <w:pStyle w:val="BodyText"/>
      </w:pPr>
      <w:r w:rsidRPr="00E86CEF">
        <w:t xml:space="preserve">Release 1. Supersedes and is equivalent to MEM18092B Maintain and repair commercial and/or industrial refrigeration and/or air conditioning controls </w:t>
      </w:r>
    </w:p>
    <w:p w:rsidR="00000000" w:rsidRPr="00E86CEF" w:rsidP="00E86CEF">
      <w:pPr>
        <w:pStyle w:val="Heading1"/>
      </w:pPr>
      <w:bookmarkStart w:id="9" w:name="O_941782"/>
      <w:bookmarkEnd w:id="9"/>
      <w:r w:rsidRPr="00E86CEF">
        <w:t>Links</w:t>
      </w:r>
    </w:p>
    <w:p w:rsidR="00000000" w:rsidRPr="00E86CEF" w:rsidP="003A02A5">
      <w:pPr>
        <w:pStyle w:val="BodyText"/>
      </w:pPr>
      <w:r w:rsidRPr="00E86CE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12F32">
        <w:rPr>
          <w:rStyle w:val="Hyperlink"/>
        </w:rPr>
        <w:t>https://vetnet.gov.au/Pages/TrainingDocs.aspx?q=b7050d37-5fd0-4740-8f7d-3b7a49c10bb2</w:t>
      </w:r>
      <w:r>
        <w:fldChar w:fldCharType="end"/>
      </w:r>
    </w:p>
    <w:p w:rsidR="00000000" w:rsidRPr="00E86CEF" w:rsidP="00E86CEF"/>
    <w:sectPr w:rsidSect="00E86C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F" w:rsidRPr="003A02A5" w:rsidP="003A0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A5" w:rsidP="00E86C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2A5" w:rsidP="00E86CE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02A5" w:rsidP="00E86C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CEF" w:rsidRPr="003A02A5" w:rsidP="003A0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2A5" w:rsidRPr="002D2AF8" w:rsidP="00E86CEF">
    <w:pPr>
      <w:pStyle w:val="Header"/>
      <w:framePr w:wrap="around"/>
    </w:pPr>
    <w:r>
      <w:fldChar w:fldCharType="begin"/>
    </w:r>
    <w:r>
      <w:instrText xml:space="preserve"> TITLE   \* MERGEFORMAT </w:instrText>
    </w:r>
    <w:r>
      <w:fldChar w:fldCharType="separate"/>
    </w:r>
    <w:r>
      <w:t>MEM18092 Maintain and repair commercial and/or industrial refrigeration and/or air conditioning controls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A02A5" w:rsidP="00E86C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9AB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FA6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C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CEF"/>
    <w:pPr>
      <w:spacing w:before="360" w:after="60"/>
      <w:outlineLvl w:val="0"/>
    </w:pPr>
    <w:rPr>
      <w:sz w:val="32"/>
    </w:rPr>
  </w:style>
  <w:style w:type="paragraph" w:styleId="Heading2">
    <w:name w:val="heading 2"/>
    <w:basedOn w:val="HeadingBase"/>
    <w:next w:val="BodyText"/>
    <w:link w:val="Heading2Char"/>
    <w:qFormat/>
    <w:rsid w:val="00E86CEF"/>
    <w:pPr>
      <w:keepLines/>
      <w:spacing w:before="240" w:after="120"/>
      <w:outlineLvl w:val="1"/>
    </w:pPr>
    <w:rPr>
      <w:sz w:val="28"/>
      <w:szCs w:val="40"/>
    </w:rPr>
  </w:style>
  <w:style w:type="paragraph" w:styleId="Heading3">
    <w:name w:val="heading 3"/>
    <w:basedOn w:val="HeadingBase"/>
    <w:next w:val="BodyText"/>
    <w:link w:val="Heading3Char"/>
    <w:qFormat/>
    <w:rsid w:val="00E86CEF"/>
    <w:pPr>
      <w:spacing w:before="180" w:after="120"/>
      <w:outlineLvl w:val="2"/>
    </w:pPr>
    <w:rPr>
      <w:spacing w:val="-10"/>
      <w:kern w:val="32"/>
    </w:rPr>
  </w:style>
  <w:style w:type="paragraph" w:styleId="Heading4">
    <w:name w:val="heading 4"/>
    <w:basedOn w:val="HeadingBase"/>
    <w:next w:val="BodyText"/>
    <w:link w:val="Heading4Char"/>
    <w:qFormat/>
    <w:rsid w:val="00E86CEF"/>
    <w:pPr>
      <w:spacing w:before="160" w:after="120"/>
      <w:outlineLvl w:val="3"/>
    </w:pPr>
    <w:rPr>
      <w:sz w:val="22"/>
    </w:rPr>
  </w:style>
  <w:style w:type="paragraph" w:styleId="Heading5">
    <w:name w:val="heading 5"/>
    <w:basedOn w:val="HeadingBase"/>
    <w:next w:val="Normal"/>
    <w:link w:val="Heading5Char"/>
    <w:qFormat/>
    <w:rsid w:val="00E86CEF"/>
    <w:pPr>
      <w:spacing w:before="80"/>
      <w:outlineLvl w:val="4"/>
    </w:pPr>
    <w:rPr>
      <w:color w:val="918585"/>
      <w:sz w:val="20"/>
    </w:rPr>
  </w:style>
  <w:style w:type="paragraph" w:styleId="Heading6">
    <w:name w:val="heading 6"/>
    <w:basedOn w:val="HeadingBase"/>
    <w:next w:val="Normal"/>
    <w:link w:val="Heading6Char"/>
    <w:qFormat/>
    <w:rsid w:val="00E86CEF"/>
    <w:pPr>
      <w:spacing w:before="60"/>
      <w:outlineLvl w:val="5"/>
    </w:pPr>
    <w:rPr>
      <w:color w:val="918585"/>
      <w:sz w:val="20"/>
    </w:rPr>
  </w:style>
  <w:style w:type="paragraph" w:styleId="Heading7">
    <w:name w:val="heading 7"/>
    <w:basedOn w:val="Normal"/>
    <w:next w:val="Normal"/>
    <w:link w:val="Heading7Char"/>
    <w:qFormat/>
    <w:rsid w:val="00E86CEF"/>
    <w:pPr>
      <w:ind w:left="720"/>
      <w:outlineLvl w:val="6"/>
    </w:pPr>
    <w:rPr>
      <w:i/>
    </w:rPr>
  </w:style>
  <w:style w:type="paragraph" w:styleId="Heading8">
    <w:name w:val="heading 8"/>
    <w:basedOn w:val="Normal"/>
    <w:next w:val="Normal"/>
    <w:link w:val="Heading8Char"/>
    <w:qFormat/>
    <w:rsid w:val="00E86CEF"/>
    <w:pPr>
      <w:ind w:left="720"/>
      <w:outlineLvl w:val="7"/>
    </w:pPr>
    <w:rPr>
      <w:i/>
    </w:rPr>
  </w:style>
  <w:style w:type="paragraph" w:styleId="Heading9">
    <w:name w:val="heading 9"/>
    <w:basedOn w:val="Normal"/>
    <w:next w:val="Normal"/>
    <w:link w:val="Heading9Char"/>
    <w:qFormat/>
    <w:rsid w:val="00E86CEF"/>
    <w:pPr>
      <w:ind w:left="720"/>
      <w:outlineLvl w:val="8"/>
    </w:pPr>
    <w:rPr>
      <w:i/>
    </w:rPr>
  </w:style>
  <w:style w:type="character" w:default="1" w:styleId="DefaultParagraphFont">
    <w:name w:val="Default Paragraph Font"/>
    <w:uiPriority w:val="1"/>
    <w:unhideWhenUsed/>
    <w:rsid w:val="00E86C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CEF"/>
  </w:style>
  <w:style w:type="character" w:customStyle="1" w:styleId="Heading1Char">
    <w:name w:val="Heading 1 Char"/>
    <w:basedOn w:val="DefaultParagraphFont"/>
    <w:link w:val="Heading1"/>
    <w:rsid w:val="00E86CEF"/>
    <w:rPr>
      <w:rFonts w:ascii="Times New Roman" w:eastAsia="Times New Roman" w:hAnsi="Times New Roman" w:cs="Times New Roman"/>
      <w:b/>
      <w:sz w:val="32"/>
      <w:szCs w:val="20"/>
      <w:lang w:eastAsia="en-US"/>
    </w:rPr>
  </w:style>
  <w:style w:type="paragraph" w:styleId="BodyText">
    <w:name w:val="Body Text"/>
    <w:basedOn w:val="Normal"/>
    <w:link w:val="BodyTextChar"/>
    <w:rsid w:val="00E86C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CEF"/>
    <w:rPr>
      <w:rFonts w:ascii="Times New Roman" w:eastAsia="Times New Roman" w:hAnsi="Times New Roman" w:cs="Times New Roman"/>
      <w:sz w:val="24"/>
      <w:lang w:eastAsia="en-US"/>
    </w:rPr>
  </w:style>
  <w:style w:type="paragraph" w:styleId="ListBullet">
    <w:name w:val="List Bullet"/>
    <w:basedOn w:val="List"/>
    <w:rsid w:val="00E86CEF"/>
    <w:pPr>
      <w:numPr>
        <w:numId w:val="11"/>
      </w:numPr>
      <w:tabs>
        <w:tab w:val="clear" w:pos="340"/>
      </w:tabs>
      <w:spacing w:before="40" w:after="40"/>
    </w:pPr>
  </w:style>
  <w:style w:type="character" w:customStyle="1" w:styleId="SpecialBold">
    <w:name w:val="Special Bold"/>
    <w:basedOn w:val="DefaultParagraphFont"/>
    <w:rsid w:val="00E86CEF"/>
    <w:rPr>
      <w:b/>
      <w:spacing w:val="0"/>
    </w:rPr>
  </w:style>
  <w:style w:type="paragraph" w:customStyle="1" w:styleId="SuperHeading">
    <w:name w:val="SuperHeading"/>
    <w:basedOn w:val="Normal"/>
    <w:rsid w:val="00E86CEF"/>
    <w:pPr>
      <w:spacing w:before="240" w:after="120"/>
      <w:outlineLvl w:val="0"/>
    </w:pPr>
    <w:rPr>
      <w:rFonts w:ascii="Times New Roman" w:hAnsi="Times New Roman"/>
      <w:b/>
      <w:sz w:val="32"/>
    </w:rPr>
  </w:style>
  <w:style w:type="paragraph" w:customStyle="1" w:styleId="AllowPageBreak">
    <w:name w:val="AllowPageBreak"/>
    <w:rsid w:val="00E86C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C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C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C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C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C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C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C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CEF"/>
    <w:rPr>
      <w:rFonts w:ascii="Courier New" w:eastAsia="Times New Roman" w:hAnsi="Courier New" w:cs="Times New Roman"/>
      <w:i/>
      <w:szCs w:val="20"/>
      <w:lang w:eastAsia="en-US"/>
    </w:rPr>
  </w:style>
  <w:style w:type="paragraph" w:customStyle="1" w:styleId="HeadingBase">
    <w:name w:val="Heading Base"/>
    <w:rsid w:val="00E86C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CEF"/>
    <w:pPr>
      <w:tabs>
        <w:tab w:val="right" w:leader="dot" w:pos="9072"/>
      </w:tabs>
      <w:ind w:left="567"/>
    </w:pPr>
    <w:rPr>
      <w:szCs w:val="22"/>
    </w:rPr>
  </w:style>
  <w:style w:type="paragraph" w:customStyle="1" w:styleId="TOCBase">
    <w:name w:val="TOC Base"/>
    <w:rsid w:val="00E86C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CEF"/>
    <w:pPr>
      <w:tabs>
        <w:tab w:val="right" w:leader="dot" w:pos="9072"/>
      </w:tabs>
      <w:spacing w:before="40" w:after="40"/>
      <w:ind w:left="284"/>
    </w:pPr>
    <w:rPr>
      <w:rFonts w:ascii="Times New Roman" w:hAnsi="Times New Roman"/>
    </w:rPr>
  </w:style>
  <w:style w:type="paragraph" w:styleId="TOC1">
    <w:name w:val="toc 1"/>
    <w:basedOn w:val="TOCBase"/>
    <w:next w:val="Normal"/>
    <w:rsid w:val="00E86C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C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CEF"/>
    <w:rPr>
      <w:rFonts w:ascii="Times New Roman" w:eastAsia="Times New Roman" w:hAnsi="Times New Roman" w:cs="Times New Roman"/>
      <w:sz w:val="16"/>
      <w:lang w:eastAsia="en-US"/>
    </w:rPr>
  </w:style>
  <w:style w:type="paragraph" w:styleId="Title">
    <w:name w:val="Title"/>
    <w:basedOn w:val="HeadingBase"/>
    <w:link w:val="TitleChar"/>
    <w:qFormat/>
    <w:rsid w:val="00E86CEF"/>
    <w:pPr>
      <w:spacing w:before="5040"/>
      <w:jc w:val="center"/>
    </w:pPr>
    <w:rPr>
      <w:sz w:val="48"/>
      <w:szCs w:val="72"/>
      <w:lang w:val="en-US"/>
    </w:rPr>
  </w:style>
  <w:style w:type="character" w:customStyle="1" w:styleId="TitleChar">
    <w:name w:val="Title Char"/>
    <w:basedOn w:val="DefaultParagraphFont"/>
    <w:link w:val="Title"/>
    <w:rsid w:val="00E86C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CEF"/>
    <w:pPr>
      <w:tabs>
        <w:tab w:val="left" w:pos="3600"/>
        <w:tab w:val="left" w:pos="3958"/>
      </w:tabs>
    </w:pPr>
  </w:style>
  <w:style w:type="paragraph" w:styleId="List">
    <w:name w:val="List"/>
    <w:basedOn w:val="BodyText"/>
    <w:next w:val="BodyText"/>
    <w:rsid w:val="00E86CEF"/>
    <w:pPr>
      <w:tabs>
        <w:tab w:val="left" w:pos="340"/>
      </w:tabs>
      <w:spacing w:before="60" w:after="60"/>
      <w:ind w:left="340" w:hanging="340"/>
    </w:pPr>
  </w:style>
  <w:style w:type="paragraph" w:customStyle="1" w:styleId="Note">
    <w:name w:val="Note"/>
    <w:basedOn w:val="BodyText"/>
    <w:rsid w:val="00E86C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CEF"/>
    <w:pPr>
      <w:framePr w:wrap="auto" w:hAnchor="text" w:y="6049"/>
    </w:pPr>
    <w:rPr>
      <w:color w:val="000000"/>
      <w:sz w:val="40"/>
    </w:rPr>
  </w:style>
  <w:style w:type="paragraph" w:customStyle="1" w:styleId="TOCTitle">
    <w:name w:val="TOCTitle"/>
    <w:basedOn w:val="Heading1"/>
    <w:rsid w:val="00E86CEF"/>
    <w:pPr>
      <w:spacing w:after="240"/>
      <w:jc w:val="center"/>
      <w:outlineLvl w:val="9"/>
    </w:pPr>
    <w:rPr>
      <w:caps/>
    </w:rPr>
  </w:style>
  <w:style w:type="paragraph" w:customStyle="1" w:styleId="Version">
    <w:name w:val="Version"/>
    <w:rsid w:val="00E86C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6CEF"/>
    <w:pPr>
      <w:numPr>
        <w:numId w:val="12"/>
      </w:numPr>
      <w:tabs>
        <w:tab w:val="clear" w:pos="680"/>
      </w:tabs>
    </w:pPr>
  </w:style>
  <w:style w:type="paragraph" w:styleId="Index1">
    <w:name w:val="index 1"/>
    <w:basedOn w:val="Normal"/>
    <w:next w:val="Normal"/>
    <w:semiHidden/>
    <w:rsid w:val="00E86CEF"/>
    <w:pPr>
      <w:keepNext w:val="0"/>
      <w:tabs>
        <w:tab w:val="right" w:pos="4176"/>
      </w:tabs>
      <w:ind w:left="198" w:hanging="198"/>
    </w:pPr>
    <w:rPr>
      <w:rFonts w:ascii="Garamond" w:hAnsi="Garamond"/>
    </w:rPr>
  </w:style>
  <w:style w:type="paragraph" w:styleId="IndexHeading">
    <w:name w:val="index heading"/>
    <w:basedOn w:val="Normal"/>
    <w:next w:val="Index1"/>
    <w:semiHidden/>
    <w:rsid w:val="00E86CEF"/>
    <w:pPr>
      <w:spacing w:before="120" w:after="120"/>
    </w:pPr>
    <w:rPr>
      <w:rFonts w:ascii="Arial" w:hAnsi="Arial"/>
      <w:b/>
      <w:color w:val="918585"/>
      <w:sz w:val="24"/>
    </w:rPr>
  </w:style>
  <w:style w:type="paragraph" w:styleId="Header">
    <w:name w:val="header"/>
    <w:basedOn w:val="Normal"/>
    <w:link w:val="HeaderChar"/>
    <w:rsid w:val="00E86C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CEF"/>
    <w:rPr>
      <w:rFonts w:ascii="Times New Roman" w:eastAsia="Times New Roman" w:hAnsi="Times New Roman" w:cs="Times New Roman"/>
      <w:sz w:val="16"/>
      <w:szCs w:val="20"/>
      <w:lang w:val="en-GB" w:eastAsia="en-US"/>
    </w:rPr>
  </w:style>
  <w:style w:type="paragraph" w:customStyle="1" w:styleId="Chapter">
    <w:name w:val="Chapter"/>
    <w:basedOn w:val="Normal"/>
    <w:rsid w:val="00E86CEF"/>
    <w:pPr>
      <w:spacing w:before="240"/>
    </w:pPr>
    <w:rPr>
      <w:rFonts w:ascii="Times New Roman" w:hAnsi="Times New Roman"/>
      <w:smallCaps/>
      <w:spacing w:val="80"/>
      <w:sz w:val="28"/>
    </w:rPr>
  </w:style>
  <w:style w:type="paragraph" w:customStyle="1" w:styleId="InChapter">
    <w:name w:val="InChapter"/>
    <w:basedOn w:val="Heading3"/>
    <w:rsid w:val="00E86CEF"/>
    <w:pPr>
      <w:spacing w:after="240"/>
      <w:outlineLvl w:val="9"/>
    </w:pPr>
    <w:rPr>
      <w:noProof/>
    </w:rPr>
  </w:style>
  <w:style w:type="paragraph" w:styleId="Index2">
    <w:name w:val="index 2"/>
    <w:basedOn w:val="Normal"/>
    <w:next w:val="Normal"/>
    <w:semiHidden/>
    <w:rsid w:val="00E86CEF"/>
    <w:pPr>
      <w:tabs>
        <w:tab w:val="right" w:pos="4176"/>
      </w:tabs>
      <w:ind w:left="568" w:hanging="284"/>
    </w:pPr>
    <w:rPr>
      <w:rFonts w:ascii="Garamond" w:hAnsi="Garamond"/>
    </w:rPr>
  </w:style>
  <w:style w:type="paragraph" w:customStyle="1" w:styleId="Byline">
    <w:name w:val="Byline"/>
    <w:rsid w:val="00E86C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CEF"/>
    <w:pPr>
      <w:tabs>
        <w:tab w:val="clear" w:pos="3600"/>
        <w:tab w:val="clear" w:pos="3958"/>
      </w:tabs>
      <w:jc w:val="right"/>
    </w:pPr>
  </w:style>
  <w:style w:type="character" w:styleId="Emphasis">
    <w:name w:val="Emphasis"/>
    <w:basedOn w:val="DefaultParagraphFont"/>
    <w:qFormat/>
    <w:rsid w:val="00E86CEF"/>
    <w:rPr>
      <w:i/>
    </w:rPr>
  </w:style>
  <w:style w:type="paragraph" w:styleId="Caption">
    <w:name w:val="caption"/>
    <w:basedOn w:val="BodyText"/>
    <w:next w:val="Normal"/>
    <w:qFormat/>
    <w:rsid w:val="00E86CEF"/>
    <w:pPr>
      <w:framePr w:w="2268" w:hSpace="181" w:vSpace="181" w:wrap="around" w:vAnchor="text" w:hAnchor="page" w:x="1135" w:y="285" w:anchorLock="1"/>
    </w:pPr>
    <w:rPr>
      <w:i/>
    </w:rPr>
  </w:style>
  <w:style w:type="paragraph" w:customStyle="1" w:styleId="MiniTOCTitle">
    <w:name w:val="MiniTOCTitle"/>
    <w:basedOn w:val="Heading4"/>
    <w:rsid w:val="00E86CEF"/>
    <w:pPr>
      <w:spacing w:before="240"/>
      <w:outlineLvl w:val="9"/>
    </w:pPr>
    <w:rPr>
      <w:noProof/>
      <w:sz w:val="24"/>
    </w:rPr>
  </w:style>
  <w:style w:type="paragraph" w:customStyle="1" w:styleId="MiniTOCItem">
    <w:name w:val="MiniTOCItem"/>
    <w:basedOn w:val="ListBullet"/>
    <w:rsid w:val="00E86CEF"/>
    <w:pPr>
      <w:numPr>
        <w:numId w:val="0"/>
      </w:numPr>
      <w:tabs>
        <w:tab w:val="right" w:leader="dot" w:pos="6521"/>
      </w:tabs>
      <w:spacing w:before="0" w:after="0"/>
    </w:pPr>
  </w:style>
  <w:style w:type="paragraph" w:customStyle="1" w:styleId="TOFTitle">
    <w:name w:val="TOFTitle"/>
    <w:basedOn w:val="TOCTitle"/>
    <w:rsid w:val="00E86CEF"/>
  </w:style>
  <w:style w:type="paragraph" w:styleId="TableofFigures">
    <w:name w:val="table of figures"/>
    <w:basedOn w:val="Normal"/>
    <w:next w:val="Normal"/>
    <w:semiHidden/>
    <w:rsid w:val="00E86CEF"/>
    <w:pPr>
      <w:tabs>
        <w:tab w:val="right" w:leader="dot" w:pos="9072"/>
      </w:tabs>
      <w:ind w:left="970" w:hanging="403"/>
    </w:pPr>
    <w:rPr>
      <w:rFonts w:ascii="Times New Roman" w:hAnsi="Times New Roman"/>
      <w:b/>
    </w:rPr>
  </w:style>
  <w:style w:type="paragraph" w:styleId="ListNumber">
    <w:name w:val="List Number"/>
    <w:basedOn w:val="List"/>
    <w:rsid w:val="00E86CEF"/>
    <w:pPr>
      <w:numPr>
        <w:numId w:val="14"/>
      </w:numPr>
      <w:tabs>
        <w:tab w:val="clear" w:pos="340"/>
      </w:tabs>
    </w:pPr>
  </w:style>
  <w:style w:type="character" w:customStyle="1" w:styleId="WingdingSymbols">
    <w:name w:val="Wingding Symbols"/>
    <w:rsid w:val="00E86CEF"/>
    <w:rPr>
      <w:rFonts w:ascii="Wingdings" w:hAnsi="Wingdings"/>
    </w:rPr>
  </w:style>
  <w:style w:type="paragraph" w:customStyle="1" w:styleId="TableHeading">
    <w:name w:val="Table Heading"/>
    <w:basedOn w:val="HeadingBase"/>
    <w:rsid w:val="00E86CEF"/>
    <w:pPr>
      <w:keepLines/>
      <w:pBdr>
        <w:bottom w:val="single" w:sz="6" w:space="1" w:color="918585"/>
      </w:pBdr>
      <w:spacing w:before="240"/>
    </w:pPr>
  </w:style>
  <w:style w:type="character" w:customStyle="1" w:styleId="HotSpot">
    <w:name w:val="HotSpot"/>
    <w:rsid w:val="00E86CEF"/>
    <w:rPr>
      <w:color w:val="0033CC"/>
      <w:u w:val="none"/>
    </w:rPr>
  </w:style>
  <w:style w:type="paragraph" w:customStyle="1" w:styleId="BodyTextRight">
    <w:name w:val="Body Text Right"/>
    <w:basedOn w:val="BodyText"/>
    <w:rsid w:val="00E86CEF"/>
    <w:pPr>
      <w:spacing w:before="0" w:after="0"/>
      <w:jc w:val="right"/>
    </w:pPr>
  </w:style>
  <w:style w:type="paragraph" w:styleId="Index3">
    <w:name w:val="index 3"/>
    <w:basedOn w:val="ListNumber2"/>
    <w:next w:val="Normal"/>
    <w:semiHidden/>
    <w:rsid w:val="00E86CEF"/>
    <w:pPr>
      <w:numPr>
        <w:numId w:val="0"/>
      </w:numPr>
      <w:tabs>
        <w:tab w:val="right" w:leader="dot" w:pos="4176"/>
      </w:tabs>
    </w:pPr>
  </w:style>
  <w:style w:type="paragraph" w:styleId="ListNumber2">
    <w:name w:val="List Number 2"/>
    <w:basedOn w:val="List2"/>
    <w:rsid w:val="00E86CEF"/>
    <w:pPr>
      <w:numPr>
        <w:numId w:val="9"/>
      </w:numPr>
      <w:tabs>
        <w:tab w:val="clear" w:pos="1060"/>
      </w:tabs>
    </w:pPr>
  </w:style>
  <w:style w:type="paragraph" w:customStyle="1" w:styleId="MarginNote">
    <w:name w:val="Margin Note"/>
    <w:basedOn w:val="BodyText"/>
    <w:rsid w:val="00E86C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C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C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CEF"/>
    <w:rPr>
      <w:sz w:val="32"/>
    </w:rPr>
  </w:style>
  <w:style w:type="paragraph" w:customStyle="1" w:styleId="HeadingProcedure">
    <w:name w:val="Heading Procedure"/>
    <w:basedOn w:val="HeadingBase"/>
    <w:next w:val="Normal"/>
    <w:rsid w:val="00E86CEF"/>
    <w:pPr>
      <w:tabs>
        <w:tab w:val="left" w:pos="0"/>
      </w:tabs>
      <w:spacing w:before="120" w:after="60"/>
    </w:pPr>
    <w:rPr>
      <w:i/>
      <w:color w:val="918585"/>
      <w:sz w:val="22"/>
    </w:rPr>
  </w:style>
  <w:style w:type="paragraph" w:customStyle="1" w:styleId="TableBodyText">
    <w:name w:val="Table Body Text"/>
    <w:basedOn w:val="BodyText"/>
    <w:rsid w:val="00E86CEF"/>
    <w:pPr>
      <w:spacing w:before="60" w:after="60"/>
    </w:pPr>
  </w:style>
  <w:style w:type="paragraph" w:styleId="ListContinue">
    <w:name w:val="List Continue"/>
    <w:basedOn w:val="List"/>
    <w:rsid w:val="00E86CEF"/>
    <w:pPr>
      <w:ind w:firstLine="0"/>
    </w:pPr>
  </w:style>
  <w:style w:type="paragraph" w:customStyle="1" w:styleId="ListNote">
    <w:name w:val="List Note"/>
    <w:basedOn w:val="List"/>
    <w:rsid w:val="00E86CEF"/>
    <w:pPr>
      <w:pBdr>
        <w:top w:val="single" w:sz="6" w:space="2" w:color="918585"/>
        <w:bottom w:val="single" w:sz="6" w:space="2" w:color="918585"/>
      </w:pBdr>
      <w:tabs>
        <w:tab w:val="left" w:pos="1021"/>
      </w:tabs>
      <w:ind w:firstLine="0"/>
    </w:pPr>
  </w:style>
  <w:style w:type="paragraph" w:customStyle="1" w:styleId="Warning">
    <w:name w:val="Warning"/>
    <w:basedOn w:val="BodyText"/>
    <w:rsid w:val="00E86CEF"/>
    <w:pPr>
      <w:shd w:val="clear" w:color="auto" w:fill="D9D9D9"/>
      <w:tabs>
        <w:tab w:val="left" w:pos="992"/>
      </w:tabs>
      <w:ind w:left="119" w:right="119"/>
    </w:pPr>
    <w:rPr>
      <w:sz w:val="20"/>
    </w:rPr>
  </w:style>
  <w:style w:type="paragraph" w:customStyle="1" w:styleId="MarginIcons">
    <w:name w:val="Margin Icons"/>
    <w:basedOn w:val="BodyText"/>
    <w:rsid w:val="00E86C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CEF"/>
    <w:rPr>
      <w:rFonts w:ascii="Courier New" w:hAnsi="Courier New"/>
    </w:rPr>
  </w:style>
  <w:style w:type="paragraph" w:customStyle="1" w:styleId="NoteBullet">
    <w:name w:val="Note Bullet"/>
    <w:basedOn w:val="Note"/>
    <w:rsid w:val="00E86CEF"/>
    <w:pPr>
      <w:tabs>
        <w:tab w:val="clear" w:pos="680"/>
      </w:tabs>
      <w:spacing w:before="60" w:after="60"/>
    </w:pPr>
  </w:style>
  <w:style w:type="paragraph" w:customStyle="1" w:styleId="SubHeading2">
    <w:name w:val="SubHeading2"/>
    <w:basedOn w:val="HeadingBase"/>
    <w:rsid w:val="00E86CEF"/>
    <w:pPr>
      <w:spacing w:before="240" w:after="60"/>
    </w:pPr>
    <w:rPr>
      <w:sz w:val="20"/>
    </w:rPr>
  </w:style>
  <w:style w:type="paragraph" w:customStyle="1" w:styleId="SubHeading1">
    <w:name w:val="SubHeading1"/>
    <w:basedOn w:val="HeadingBase"/>
    <w:rsid w:val="00E86CEF"/>
    <w:pPr>
      <w:spacing w:before="240" w:after="60"/>
    </w:pPr>
    <w:rPr>
      <w:color w:val="918585"/>
      <w:sz w:val="22"/>
    </w:rPr>
  </w:style>
  <w:style w:type="paragraph" w:customStyle="1" w:styleId="SideHeading">
    <w:name w:val="Side Heading"/>
    <w:basedOn w:val="HeadingBase"/>
    <w:rsid w:val="00E86C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CEF"/>
    <w:pPr>
      <w:numPr>
        <w:numId w:val="10"/>
      </w:numPr>
    </w:pPr>
  </w:style>
  <w:style w:type="paragraph" w:styleId="PlainText">
    <w:name w:val="Plain Text"/>
    <w:basedOn w:val="Normal"/>
    <w:link w:val="PlainTextChar"/>
    <w:rsid w:val="00E86CEF"/>
    <w:rPr>
      <w:sz w:val="20"/>
    </w:rPr>
  </w:style>
  <w:style w:type="character" w:customStyle="1" w:styleId="PlainTextChar">
    <w:name w:val="Plain Text Char"/>
    <w:basedOn w:val="DefaultParagraphFont"/>
    <w:link w:val="PlainText"/>
    <w:rsid w:val="00E86CEF"/>
    <w:rPr>
      <w:rFonts w:ascii="Courier New" w:eastAsia="Times New Roman" w:hAnsi="Courier New" w:cs="Times New Roman"/>
      <w:sz w:val="20"/>
      <w:szCs w:val="20"/>
      <w:lang w:eastAsia="en-US"/>
    </w:rPr>
  </w:style>
  <w:style w:type="character" w:customStyle="1" w:styleId="MenuOption">
    <w:name w:val="Menu Option"/>
    <w:basedOn w:val="DefaultParagraphFont"/>
    <w:rsid w:val="00E86CEF"/>
    <w:rPr>
      <w:b/>
      <w:smallCaps/>
    </w:rPr>
  </w:style>
  <w:style w:type="paragraph" w:customStyle="1" w:styleId="TableListNumber">
    <w:name w:val="Table List Number"/>
    <w:basedOn w:val="ListNumber"/>
    <w:rsid w:val="00E86CEF"/>
    <w:pPr>
      <w:numPr>
        <w:numId w:val="0"/>
      </w:numPr>
    </w:pPr>
  </w:style>
  <w:style w:type="paragraph" w:styleId="TOC4">
    <w:name w:val="toc 4"/>
    <w:basedOn w:val="TOCBase"/>
    <w:next w:val="Normal"/>
    <w:semiHidden/>
    <w:rsid w:val="00E86CEF"/>
    <w:pPr>
      <w:tabs>
        <w:tab w:val="right" w:leader="dot" w:pos="9071"/>
      </w:tabs>
      <w:ind w:left="1701"/>
    </w:pPr>
  </w:style>
  <w:style w:type="paragraph" w:customStyle="1" w:styleId="ListAlpha">
    <w:name w:val="List Alpha"/>
    <w:basedOn w:val="List"/>
    <w:rsid w:val="00E86CEF"/>
    <w:pPr>
      <w:numPr>
        <w:numId w:val="8"/>
      </w:numPr>
    </w:pPr>
  </w:style>
  <w:style w:type="paragraph" w:customStyle="1" w:styleId="ListAlpha2">
    <w:name w:val="List Alpha 2"/>
    <w:basedOn w:val="List2"/>
    <w:rsid w:val="00E86CEF"/>
    <w:pPr>
      <w:numPr>
        <w:numId w:val="7"/>
      </w:numPr>
    </w:pPr>
  </w:style>
  <w:style w:type="paragraph" w:styleId="List2">
    <w:name w:val="List 2"/>
    <w:basedOn w:val="BodyText"/>
    <w:rsid w:val="00E86CEF"/>
    <w:pPr>
      <w:tabs>
        <w:tab w:val="left" w:pos="680"/>
      </w:tabs>
      <w:spacing w:before="60" w:after="60"/>
      <w:ind w:left="680" w:hanging="340"/>
    </w:pPr>
  </w:style>
  <w:style w:type="paragraph" w:styleId="List3">
    <w:name w:val="List 3"/>
    <w:basedOn w:val="BodyText"/>
    <w:rsid w:val="00E86CEF"/>
    <w:pPr>
      <w:tabs>
        <w:tab w:val="left" w:pos="1021"/>
      </w:tabs>
      <w:spacing w:before="60" w:after="60"/>
      <w:ind w:left="1020" w:hanging="340"/>
    </w:pPr>
  </w:style>
  <w:style w:type="paragraph" w:styleId="List4">
    <w:name w:val="List 4"/>
    <w:basedOn w:val="BodyText"/>
    <w:rsid w:val="00E86CEF"/>
    <w:pPr>
      <w:tabs>
        <w:tab w:val="left" w:pos="1361"/>
      </w:tabs>
      <w:spacing w:before="60" w:after="60"/>
      <w:ind w:left="1361" w:hanging="340"/>
    </w:pPr>
  </w:style>
  <w:style w:type="paragraph" w:styleId="List5">
    <w:name w:val="List 5"/>
    <w:basedOn w:val="BodyText"/>
    <w:rsid w:val="00E86CEF"/>
    <w:pPr>
      <w:tabs>
        <w:tab w:val="left" w:pos="1701"/>
      </w:tabs>
      <w:spacing w:before="60" w:after="60"/>
      <w:ind w:left="1701" w:hanging="340"/>
    </w:pPr>
  </w:style>
  <w:style w:type="paragraph" w:styleId="ListBullet3">
    <w:name w:val="List Bullet 3"/>
    <w:basedOn w:val="List3"/>
    <w:rsid w:val="00E86CEF"/>
    <w:pPr>
      <w:numPr>
        <w:numId w:val="13"/>
      </w:numPr>
      <w:tabs>
        <w:tab w:val="clear" w:pos="1021"/>
      </w:tabs>
      <w:ind w:left="1037" w:hanging="357"/>
    </w:pPr>
  </w:style>
  <w:style w:type="paragraph" w:styleId="ListBullet4">
    <w:name w:val="List Bullet 4"/>
    <w:basedOn w:val="List4"/>
    <w:rsid w:val="00E86CEF"/>
    <w:pPr>
      <w:numPr>
        <w:numId w:val="2"/>
      </w:numPr>
      <w:tabs>
        <w:tab w:val="clear" w:pos="1361"/>
      </w:tabs>
    </w:pPr>
  </w:style>
  <w:style w:type="paragraph" w:styleId="ListBullet5">
    <w:name w:val="List Bullet 5"/>
    <w:basedOn w:val="List5"/>
    <w:rsid w:val="00E86CEF"/>
    <w:pPr>
      <w:numPr>
        <w:numId w:val="3"/>
      </w:numPr>
    </w:pPr>
  </w:style>
  <w:style w:type="paragraph" w:styleId="ListContinue2">
    <w:name w:val="List Continue 2"/>
    <w:basedOn w:val="List2"/>
    <w:rsid w:val="00E86CEF"/>
    <w:pPr>
      <w:ind w:firstLine="0"/>
    </w:pPr>
  </w:style>
  <w:style w:type="paragraph" w:styleId="ListContinue3">
    <w:name w:val="List Continue 3"/>
    <w:basedOn w:val="List3"/>
    <w:rsid w:val="00E86CEF"/>
    <w:pPr>
      <w:ind w:left="1021" w:firstLine="0"/>
    </w:pPr>
  </w:style>
  <w:style w:type="paragraph" w:styleId="ListContinue4">
    <w:name w:val="List Continue 4"/>
    <w:basedOn w:val="List4"/>
    <w:rsid w:val="00E86CEF"/>
    <w:pPr>
      <w:ind w:firstLine="0"/>
    </w:pPr>
  </w:style>
  <w:style w:type="paragraph" w:styleId="ListContinue5">
    <w:name w:val="List Continue 5"/>
    <w:basedOn w:val="List5"/>
    <w:rsid w:val="00E86CEF"/>
    <w:pPr>
      <w:ind w:firstLine="0"/>
    </w:pPr>
  </w:style>
  <w:style w:type="paragraph" w:styleId="ListNumber3">
    <w:name w:val="List Number 3"/>
    <w:basedOn w:val="List3"/>
    <w:rsid w:val="00E86CEF"/>
    <w:pPr>
      <w:numPr>
        <w:numId w:val="4"/>
      </w:numPr>
    </w:pPr>
  </w:style>
  <w:style w:type="paragraph" w:styleId="ListNumber4">
    <w:name w:val="List Number 4"/>
    <w:basedOn w:val="List4"/>
    <w:rsid w:val="00E86CEF"/>
    <w:pPr>
      <w:numPr>
        <w:numId w:val="5"/>
      </w:numPr>
    </w:pPr>
  </w:style>
  <w:style w:type="paragraph" w:styleId="ListNumber5">
    <w:name w:val="List Number 5"/>
    <w:basedOn w:val="List5"/>
    <w:rsid w:val="00E86CEF"/>
    <w:pPr>
      <w:numPr>
        <w:numId w:val="6"/>
      </w:numPr>
    </w:pPr>
  </w:style>
  <w:style w:type="paragraph" w:styleId="BlockText">
    <w:name w:val="Block Text"/>
    <w:basedOn w:val="Normal"/>
    <w:rsid w:val="00E86CEF"/>
    <w:pPr>
      <w:spacing w:after="120"/>
      <w:ind w:left="1440" w:right="1440"/>
    </w:pPr>
  </w:style>
  <w:style w:type="character" w:customStyle="1" w:styleId="Subscript">
    <w:name w:val="Subscript"/>
    <w:basedOn w:val="DefaultParagraphFont"/>
    <w:rsid w:val="00E86CEF"/>
    <w:rPr>
      <w:sz w:val="16"/>
      <w:vertAlign w:val="subscript"/>
    </w:rPr>
  </w:style>
  <w:style w:type="character" w:customStyle="1" w:styleId="Superscript">
    <w:name w:val="Superscript"/>
    <w:basedOn w:val="DefaultParagraphFont"/>
    <w:rsid w:val="00E86CEF"/>
    <w:rPr>
      <w:sz w:val="16"/>
      <w:vertAlign w:val="superscript"/>
    </w:rPr>
  </w:style>
  <w:style w:type="character" w:customStyle="1" w:styleId="Symbols">
    <w:name w:val="Symbols"/>
    <w:basedOn w:val="DefaultParagraphFont"/>
    <w:rsid w:val="00E86CEF"/>
    <w:rPr>
      <w:rFonts w:ascii="Symbol" w:hAnsi="Symbol"/>
    </w:rPr>
  </w:style>
  <w:style w:type="character" w:customStyle="1" w:styleId="MenuOptions">
    <w:name w:val="Menu Options"/>
    <w:basedOn w:val="DefaultParagraphFont"/>
    <w:rsid w:val="00E86CEF"/>
    <w:rPr>
      <w:rFonts w:ascii="Arial Narrow" w:hAnsi="Arial Narrow"/>
      <w:smallCaps/>
    </w:rPr>
  </w:style>
  <w:style w:type="character" w:customStyle="1" w:styleId="Buttons">
    <w:name w:val="Buttons"/>
    <w:basedOn w:val="DefaultParagraphFont"/>
    <w:rsid w:val="00E86CEF"/>
    <w:rPr>
      <w:b/>
    </w:rPr>
  </w:style>
  <w:style w:type="character" w:customStyle="1" w:styleId="Underlined">
    <w:name w:val="Underlined"/>
    <w:basedOn w:val="DefaultParagraphFont"/>
    <w:rsid w:val="00E86CEF"/>
    <w:rPr>
      <w:u w:val="single"/>
    </w:rPr>
  </w:style>
  <w:style w:type="paragraph" w:customStyle="1" w:styleId="TableBodyTextRight">
    <w:name w:val="Table Body Text Right"/>
    <w:basedOn w:val="TableBodyText"/>
    <w:rsid w:val="00E86CEF"/>
    <w:pPr>
      <w:widowControl w:val="0"/>
      <w:autoSpaceDE w:val="0"/>
      <w:autoSpaceDN w:val="0"/>
      <w:adjustRightInd w:val="0"/>
      <w:jc w:val="right"/>
    </w:pPr>
    <w:rPr>
      <w:rFonts w:cs="Arial"/>
      <w:szCs w:val="18"/>
    </w:rPr>
  </w:style>
  <w:style w:type="paragraph" w:customStyle="1" w:styleId="CopyrightText">
    <w:name w:val="Copyright Text"/>
    <w:basedOn w:val="BodyText"/>
    <w:rsid w:val="00E86CEF"/>
    <w:rPr>
      <w:sz w:val="18"/>
    </w:rPr>
  </w:style>
  <w:style w:type="paragraph" w:customStyle="1" w:styleId="BodySmallRight">
    <w:name w:val="Body Small Right"/>
    <w:basedOn w:val="BodyTextRight"/>
    <w:rsid w:val="00E86CEF"/>
    <w:rPr>
      <w:sz w:val="18"/>
      <w:szCs w:val="18"/>
    </w:rPr>
  </w:style>
  <w:style w:type="paragraph" w:customStyle="1" w:styleId="MarginEdition">
    <w:name w:val="Margin Edition"/>
    <w:basedOn w:val="MarginNote"/>
    <w:rsid w:val="00E86CEF"/>
    <w:pPr>
      <w:spacing w:before="0" w:after="0"/>
    </w:pPr>
    <w:rPr>
      <w:rFonts w:ascii="Times New Roman" w:hAnsi="Times New Roman"/>
      <w:color w:val="999999"/>
    </w:rPr>
  </w:style>
  <w:style w:type="paragraph" w:customStyle="1" w:styleId="Spacer">
    <w:name w:val="Spacer"/>
    <w:basedOn w:val="Normal"/>
    <w:rsid w:val="00E86CEF"/>
    <w:rPr>
      <w:sz w:val="2"/>
      <w:szCs w:val="2"/>
    </w:rPr>
  </w:style>
  <w:style w:type="character" w:customStyle="1" w:styleId="Small">
    <w:name w:val="Small"/>
    <w:basedOn w:val="DefaultParagraphFont"/>
    <w:rsid w:val="00E86CEF"/>
    <w:rPr>
      <w:sz w:val="16"/>
    </w:rPr>
  </w:style>
  <w:style w:type="paragraph" w:customStyle="1" w:styleId="WideTable">
    <w:name w:val="Wide Table"/>
    <w:basedOn w:val="Normal"/>
    <w:rsid w:val="00E86CEF"/>
    <w:pPr>
      <w:ind w:left="-1418"/>
    </w:pPr>
    <w:rPr>
      <w:sz w:val="2"/>
      <w:szCs w:val="2"/>
    </w:rPr>
  </w:style>
  <w:style w:type="character" w:styleId="PageNumber">
    <w:name w:val="page number"/>
    <w:basedOn w:val="DefaultParagraphFont"/>
    <w:rsid w:val="00E86CEF"/>
  </w:style>
  <w:style w:type="paragraph" w:styleId="Quote">
    <w:name w:val="Quote"/>
    <w:basedOn w:val="Heading1"/>
    <w:link w:val="QuoteChar"/>
    <w:qFormat/>
    <w:rsid w:val="00E86CEF"/>
    <w:rPr>
      <w:b w:val="0"/>
      <w:sz w:val="72"/>
      <w:szCs w:val="72"/>
      <w:lang w:val="en-NZ"/>
    </w:rPr>
  </w:style>
  <w:style w:type="character" w:customStyle="1" w:styleId="QuoteChar">
    <w:name w:val="Quote Char"/>
    <w:basedOn w:val="DefaultParagraphFont"/>
    <w:link w:val="Quote"/>
    <w:rsid w:val="00E86C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CEF"/>
    <w:pPr>
      <w:pageBreakBefore/>
    </w:pPr>
  </w:style>
  <w:style w:type="paragraph" w:customStyle="1" w:styleId="Border">
    <w:name w:val="Border"/>
    <w:basedOn w:val="Normal"/>
    <w:qFormat/>
    <w:rsid w:val="00E86C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CEF"/>
    <w:rPr>
      <w:b/>
      <w:bCs/>
      <w:i/>
      <w:iCs/>
      <w:color w:val="auto"/>
    </w:rPr>
  </w:style>
  <w:style w:type="paragraph" w:styleId="IntenseQuote">
    <w:name w:val="Intense Quote"/>
    <w:basedOn w:val="Normal"/>
    <w:next w:val="Normal"/>
    <w:link w:val="IntenseQuoteChar"/>
    <w:uiPriority w:val="30"/>
    <w:qFormat/>
    <w:rsid w:val="00E86C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C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CEF"/>
    <w:rPr>
      <w:smallCaps/>
      <w:color w:val="auto"/>
      <w:u w:val="single"/>
    </w:rPr>
  </w:style>
  <w:style w:type="character" w:styleId="IntenseReference">
    <w:name w:val="Intense Reference"/>
    <w:basedOn w:val="DefaultParagraphFont"/>
    <w:uiPriority w:val="32"/>
    <w:qFormat/>
    <w:rsid w:val="00E86CEF"/>
    <w:rPr>
      <w:b/>
      <w:bCs/>
      <w:smallCaps/>
      <w:color w:val="auto"/>
      <w:spacing w:val="5"/>
      <w:u w:val="single"/>
    </w:rPr>
  </w:style>
  <w:style w:type="paragraph" w:customStyle="1" w:styleId="2ColumnHeading">
    <w:name w:val="2Column Heading"/>
    <w:basedOn w:val="BodyText"/>
    <w:qFormat/>
    <w:rsid w:val="00E86CEF"/>
    <w:pPr>
      <w:spacing w:after="60"/>
      <w:ind w:left="-2268"/>
    </w:pPr>
    <w:rPr>
      <w:b/>
    </w:rPr>
  </w:style>
  <w:style w:type="paragraph" w:customStyle="1" w:styleId="Heading1TOC">
    <w:name w:val="Heading1 TOC"/>
    <w:basedOn w:val="Normal"/>
    <w:qFormat/>
    <w:rsid w:val="00E86CEF"/>
    <w:pPr>
      <w:spacing w:before="240" w:after="120"/>
    </w:pPr>
    <w:rPr>
      <w:rFonts w:ascii="Times New Roman" w:hAnsi="Times New Roman"/>
      <w:b/>
      <w:sz w:val="32"/>
    </w:rPr>
  </w:style>
  <w:style w:type="paragraph" w:customStyle="1" w:styleId="Heading2TOC">
    <w:name w:val="Heading2 TOC"/>
    <w:basedOn w:val="Normal"/>
    <w:qFormat/>
    <w:rsid w:val="00E86CEF"/>
    <w:pPr>
      <w:spacing w:before="240" w:after="60"/>
    </w:pPr>
    <w:rPr>
      <w:rFonts w:ascii="Times New Roman" w:hAnsi="Times New Roman"/>
      <w:b/>
      <w:sz w:val="28"/>
    </w:rPr>
  </w:style>
  <w:style w:type="character" w:customStyle="1" w:styleId="Underline">
    <w:name w:val="Underline"/>
    <w:basedOn w:val="DefaultParagraphFont"/>
    <w:qFormat/>
    <w:rsid w:val="00E86CEF"/>
    <w:rPr>
      <w:u w:val="single"/>
    </w:rPr>
  </w:style>
  <w:style w:type="character" w:customStyle="1" w:styleId="BoldandItalics">
    <w:name w:val="Bold and Italics"/>
    <w:qFormat/>
    <w:rsid w:val="00E86CEF"/>
    <w:rPr>
      <w:b/>
      <w:i/>
      <w:u w:val="none"/>
    </w:rPr>
  </w:style>
  <w:style w:type="paragraph" w:styleId="BalloonText">
    <w:name w:val="Balloon Text"/>
    <w:basedOn w:val="Normal"/>
    <w:link w:val="BalloonTextChar"/>
    <w:rsid w:val="00E86CEF"/>
    <w:rPr>
      <w:rFonts w:ascii="Tahoma" w:hAnsi="Tahoma" w:cs="Tahoma"/>
      <w:sz w:val="16"/>
      <w:szCs w:val="16"/>
    </w:rPr>
  </w:style>
  <w:style w:type="character" w:customStyle="1" w:styleId="BalloonTextChar">
    <w:name w:val="Balloon Text Char"/>
    <w:basedOn w:val="DefaultParagraphFont"/>
    <w:link w:val="BalloonText"/>
    <w:rsid w:val="00E86C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C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C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CEF"/>
    <w:rPr>
      <w:b/>
      <w:color w:val="660033"/>
      <w:spacing w:val="0"/>
    </w:rPr>
  </w:style>
  <w:style w:type="paragraph" w:customStyle="1" w:styleId="Nameditemlist">
    <w:name w:val="Named item list"/>
    <w:basedOn w:val="BodyText"/>
    <w:qFormat/>
    <w:rsid w:val="00E86CEF"/>
    <w:pPr>
      <w:tabs>
        <w:tab w:val="left" w:pos="2835"/>
      </w:tabs>
      <w:ind w:left="2835" w:hanging="2835"/>
    </w:pPr>
  </w:style>
  <w:style w:type="paragraph" w:customStyle="1" w:styleId="BodyTextnopadding">
    <w:name w:val="Body Text no padding"/>
    <w:basedOn w:val="BodyText"/>
    <w:qFormat/>
    <w:rsid w:val="00E86CEF"/>
    <w:pPr>
      <w:spacing w:before="0" w:after="0"/>
    </w:pPr>
  </w:style>
  <w:style w:type="paragraph" w:customStyle="1" w:styleId="BodyTextBold">
    <w:name w:val="Body Text Bold"/>
    <w:basedOn w:val="BodyText"/>
    <w:qFormat/>
    <w:rsid w:val="00E86CEF"/>
    <w:rPr>
      <w:b/>
    </w:rPr>
  </w:style>
  <w:style w:type="character" w:styleId="Hyperlink">
    <w:name w:val="Hyperlink"/>
    <w:basedOn w:val="DefaultParagraphFont"/>
    <w:uiPriority w:val="99"/>
    <w:unhideWhenUsed/>
    <w:rsid w:val="003A0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5607</Characters>
  <Application>Microsoft Office Word</Application>
  <DocSecurity>0</DocSecurity>
  <Lines>295</Lines>
  <Paragraphs>168</Paragraphs>
  <ScaleCrop>false</ScaleCrop>
  <Company>Author-it Software Corporation Ltd.</Company>
  <LinksUpToDate>false</LinksUpToDate>
  <CharactersWithSpaces>6249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MEM18092 Maintain and repair commercial and/or industrial refrigeration and/or air conditioning controls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2023-02-03T08:11:00Z</dcterms:created>
  <dcterms:modified xsi:type="dcterms:W3CDTF">2023-02-03T08:11:00Z</dcterms:modified>
</cp:coreProperties>
</file>