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41A8" w:rsidP="00A241A8">
      <w:pPr>
        <w:pStyle w:val="Title"/>
      </w:pPr>
      <w:r>
        <w:fldChar w:fldCharType="begin"/>
      </w:r>
      <w:r>
        <w:instrText xml:space="preserve"> TITLE   \* MERGEFORMAT </w:instrText>
      </w:r>
      <w:r>
        <w:fldChar w:fldCharType="separate"/>
      </w:r>
      <w:r>
        <w:t>MEM18088 Maintain and repair commercial air conditioning systems and components</w:t>
      </w:r>
      <w:r>
        <w:fldChar w:fldCharType="end"/>
      </w:r>
    </w:p>
    <w:p w:rsidR="00A241A8" w:rsidP="00A241A8">
      <w:pPr>
        <w:pStyle w:val="Version"/>
        <w:sectPr w:rsidSect="00D500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00E7" w:rsidP="00D500E7">
      <w:pPr>
        <w:pStyle w:val="SuperHeading"/>
      </w:pPr>
      <w:r w:rsidRPr="00D500E7">
        <w:t>MEM18088 Maintain and repair commercial air conditioning systems and components</w:t>
      </w:r>
    </w:p>
    <w:p w:rsidR="00000000" w:rsidRPr="00D500E7" w:rsidP="00D500E7">
      <w:pPr>
        <w:pStyle w:val="Heading1"/>
      </w:pPr>
      <w:bookmarkStart w:id="1" w:name="O_941712"/>
      <w:bookmarkEnd w:id="1"/>
      <w:r w:rsidRPr="00D500E7">
        <w:t>Modification History</w:t>
      </w:r>
    </w:p>
    <w:p w:rsidR="00000000" w:rsidRPr="00D500E7" w:rsidP="00A241A8">
      <w:pPr>
        <w:pStyle w:val="BodyText"/>
      </w:pPr>
      <w:r w:rsidRPr="00D500E7">
        <w:t>Release 1. Supersedes and is equivalent to MEM18088B Maintain and repair commercial air conditioning systems and components</w:t>
      </w:r>
    </w:p>
    <w:p w:rsidR="00000000" w:rsidRPr="00D500E7" w:rsidP="00D500E7">
      <w:pPr>
        <w:pStyle w:val="Heading1"/>
      </w:pPr>
      <w:bookmarkStart w:id="2" w:name="O_941720"/>
      <w:bookmarkEnd w:id="2"/>
      <w:r w:rsidRPr="00D500E7">
        <w:t>Application</w:t>
      </w:r>
    </w:p>
    <w:p w:rsidR="00000000" w:rsidRPr="00D500E7" w:rsidP="00A241A8">
      <w:pPr>
        <w:pStyle w:val="BodyText"/>
      </w:pPr>
      <w:r w:rsidRPr="00D500E7">
        <w:t>This unit of competency defines the skills and knowledge required to maintain and repair commercial air conditioning systems and components.</w:t>
      </w:r>
    </w:p>
    <w:p w:rsidR="00000000" w:rsidRPr="00D500E7" w:rsidP="00A241A8">
      <w:pPr>
        <w:pStyle w:val="BodyText"/>
      </w:pPr>
      <w:r w:rsidRPr="00D500E7">
        <w:t>It applies to commercial air conditioning systems and components, including heating systems, d</w:t>
      </w:r>
      <w:r w:rsidRPr="00D500E7">
        <w:t>irect expansion refrigeration systems, and/or simple air distribution systems; typically used for comfort air conditioning and also applies to retrofitting existing commercial air conditioning systems with alternative refrigerants and reconditioning compon</w:t>
      </w:r>
      <w:r w:rsidRPr="00D500E7">
        <w:t xml:space="preserve">ents. </w:t>
      </w:r>
    </w:p>
    <w:p w:rsidR="00000000" w:rsidRPr="00D500E7" w:rsidP="00A241A8">
      <w:pPr>
        <w:pStyle w:val="BodyText"/>
      </w:pPr>
      <w:r w:rsidRPr="00D500E7">
        <w:t xml:space="preserve">A Refrigerant Handling Licence must be held by any person who carries out work in relation to refrigeration and air conditioning equipment. </w:t>
      </w:r>
    </w:p>
    <w:p w:rsidR="00000000" w:rsidRPr="00D500E7" w:rsidP="00D500E7">
      <w:pPr>
        <w:pStyle w:val="BodyText"/>
      </w:pPr>
      <w:r w:rsidRPr="00D500E7">
        <w:rPr>
          <w:rStyle w:val="SpecialBold"/>
        </w:rPr>
        <w:t>Band</w:t>
      </w:r>
      <w:r w:rsidRPr="00D500E7">
        <w:t>:</w:t>
      </w:r>
      <w:r w:rsidRPr="00D500E7">
        <w:tab/>
      </w:r>
      <w:r w:rsidRPr="00D500E7">
        <w:rPr>
          <w:rStyle w:val="SpecialBold"/>
        </w:rPr>
        <w:t>A</w:t>
      </w:r>
    </w:p>
    <w:p w:rsidR="00000000" w:rsidRPr="00D500E7" w:rsidP="00D500E7">
      <w:pPr>
        <w:pStyle w:val="BodyText"/>
      </w:pPr>
      <w:r w:rsidRPr="00D500E7">
        <w:rPr>
          <w:rStyle w:val="SpecialBold"/>
        </w:rPr>
        <w:t>Unit Weight</w:t>
      </w:r>
      <w:r w:rsidRPr="00D500E7">
        <w:t>:</w:t>
      </w:r>
      <w:r w:rsidRPr="00D500E7">
        <w:tab/>
      </w:r>
      <w:r w:rsidRPr="00D500E7">
        <w:rPr>
          <w:rStyle w:val="SpecialBold"/>
        </w:rPr>
        <w:t>4</w:t>
      </w:r>
    </w:p>
    <w:p w:rsidR="00000000" w:rsidRPr="00D500E7" w:rsidP="00D500E7">
      <w:pPr>
        <w:pStyle w:val="AllowPageBreak"/>
      </w:pPr>
    </w:p>
    <w:p w:rsidR="00000000" w:rsidRPr="00D500E7" w:rsidP="00D500E7">
      <w:pPr>
        <w:pStyle w:val="Heading1"/>
      </w:pPr>
      <w:bookmarkStart w:id="3" w:name="O_941719"/>
      <w:bookmarkEnd w:id="3"/>
      <w:r w:rsidRPr="00D500E7">
        <w:t>Pre-requisite Unit</w:t>
      </w:r>
    </w:p>
    <w:tbl>
      <w:tblPr>
        <w:tblW w:w="0" w:type="auto"/>
        <w:tblLayout w:type="fixed"/>
        <w:tblCellMar>
          <w:left w:w="62" w:type="dxa"/>
          <w:right w:w="62" w:type="dxa"/>
        </w:tblCellMar>
        <w:tblLook w:val="0000"/>
      </w:tblPr>
      <w:tblGrid>
        <w:gridCol w:w="2204"/>
        <w:gridCol w:w="6360"/>
      </w:tblGrid>
      <w:tr w:rsidTr="00D500E7">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MEM09002</w:t>
            </w:r>
          </w:p>
        </w:tc>
        <w:tc>
          <w:tcPr>
            <w:tcW w:w="6360"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Interpret technical drawing</w:t>
            </w:r>
          </w:p>
        </w:tc>
      </w:tr>
      <w:tr w:rsidTr="00D500E7">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MEM11011</w:t>
            </w:r>
          </w:p>
        </w:tc>
        <w:tc>
          <w:tcPr>
            <w:tcW w:w="6360"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Undertake manual handling</w:t>
            </w:r>
          </w:p>
        </w:tc>
      </w:tr>
      <w:tr w:rsidTr="00D500E7">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MEM12002</w:t>
            </w:r>
          </w:p>
        </w:tc>
        <w:tc>
          <w:tcPr>
            <w:tcW w:w="6360"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Perform electrical/electronic measurement</w:t>
            </w:r>
          </w:p>
        </w:tc>
      </w:tr>
      <w:tr w:rsidTr="00D500E7">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MEM12023</w:t>
            </w:r>
          </w:p>
        </w:tc>
        <w:tc>
          <w:tcPr>
            <w:tcW w:w="6360"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Perform engineering measurements</w:t>
            </w:r>
          </w:p>
        </w:tc>
      </w:tr>
      <w:tr w:rsidTr="00D500E7">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MEM12024</w:t>
            </w:r>
          </w:p>
        </w:tc>
        <w:tc>
          <w:tcPr>
            <w:tcW w:w="6360"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Perform computations</w:t>
            </w:r>
          </w:p>
        </w:tc>
      </w:tr>
      <w:tr w:rsidTr="00D500E7">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MEM13015</w:t>
            </w:r>
          </w:p>
        </w:tc>
        <w:tc>
          <w:tcPr>
            <w:tcW w:w="6360"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Work safely and effectively in manufacturing and engineering</w:t>
            </w:r>
          </w:p>
        </w:tc>
      </w:tr>
      <w:tr w:rsidTr="00D500E7">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MEM14006</w:t>
            </w:r>
          </w:p>
        </w:tc>
        <w:tc>
          <w:tcPr>
            <w:tcW w:w="6360"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Plan work activities</w:t>
            </w:r>
          </w:p>
        </w:tc>
      </w:tr>
      <w:tr w:rsidTr="00D500E7">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MEM16006</w:t>
            </w:r>
          </w:p>
        </w:tc>
        <w:tc>
          <w:tcPr>
            <w:tcW w:w="6360"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Organise and communicate information</w:t>
            </w:r>
          </w:p>
        </w:tc>
      </w:tr>
      <w:tr w:rsidTr="00D500E7">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MEM18001</w:t>
            </w:r>
          </w:p>
        </w:tc>
        <w:tc>
          <w:tcPr>
            <w:tcW w:w="6360"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Use hand tools</w:t>
            </w:r>
          </w:p>
        </w:tc>
      </w:tr>
      <w:tr w:rsidTr="00D500E7">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MEM18002</w:t>
            </w:r>
          </w:p>
        </w:tc>
        <w:tc>
          <w:tcPr>
            <w:tcW w:w="6360"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Use power tools/hand held operations</w:t>
            </w:r>
          </w:p>
        </w:tc>
      </w:tr>
      <w:tr w:rsidTr="00D500E7">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MEM18055</w:t>
            </w:r>
          </w:p>
        </w:tc>
        <w:tc>
          <w:tcPr>
            <w:tcW w:w="6360"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Dismantle, replace and assemble engineering components</w:t>
            </w:r>
          </w:p>
        </w:tc>
      </w:tr>
      <w:tr w:rsidTr="00D500E7">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MEM18086</w:t>
            </w:r>
          </w:p>
        </w:tc>
        <w:tc>
          <w:tcPr>
            <w:tcW w:w="6360" w:type="dxa"/>
            <w:tcBorders>
              <w:top w:val="nil"/>
              <w:left w:val="nil"/>
              <w:bottom w:val="nil"/>
              <w:right w:val="nil"/>
            </w:tcBorders>
            <w:tcMar>
              <w:top w:w="0" w:type="dxa"/>
              <w:left w:w="62" w:type="dxa"/>
              <w:bottom w:w="0" w:type="dxa"/>
              <w:right w:w="62" w:type="dxa"/>
            </w:tcMar>
          </w:tcPr>
          <w:p w:rsidR="00000000" w:rsidRPr="00D500E7" w:rsidP="00D500E7">
            <w:pPr>
              <w:pStyle w:val="BodyText"/>
            </w:pPr>
            <w:r w:rsidRPr="00D500E7">
              <w:t>Test, recover, evacuate and charge refrigeration systems</w:t>
            </w:r>
          </w:p>
        </w:tc>
      </w:tr>
    </w:tbl>
    <w:p w:rsidR="00000000" w:rsidRPr="00D500E7" w:rsidP="00D500E7">
      <w:pPr>
        <w:pStyle w:val="BodyText"/>
      </w:pPr>
    </w:p>
    <w:p w:rsidR="00000000" w:rsidRPr="00D500E7" w:rsidP="00D500E7">
      <w:pPr>
        <w:pStyle w:val="AllowPageBreak"/>
      </w:pPr>
    </w:p>
    <w:p w:rsidR="00000000" w:rsidRPr="00D500E7" w:rsidP="00D500E7">
      <w:pPr>
        <w:pStyle w:val="Heading1"/>
      </w:pPr>
      <w:bookmarkStart w:id="4" w:name="O_941718"/>
      <w:bookmarkEnd w:id="4"/>
      <w:r w:rsidRPr="00D500E7">
        <w:t>Competency Field</w:t>
      </w:r>
    </w:p>
    <w:p w:rsidR="00000000" w:rsidRPr="00D500E7" w:rsidP="00A241A8">
      <w:pPr>
        <w:pStyle w:val="BodyText"/>
      </w:pPr>
      <w:r w:rsidRPr="00D500E7">
        <w:t>Maintenance and diagnostics</w:t>
      </w:r>
    </w:p>
    <w:p w:rsidR="00000000" w:rsidRPr="00D500E7" w:rsidP="00D500E7">
      <w:pPr>
        <w:pStyle w:val="Heading1"/>
      </w:pPr>
      <w:bookmarkStart w:id="5" w:name="O_941716"/>
      <w:bookmarkEnd w:id="5"/>
      <w:r w:rsidRPr="00D500E7">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D500E7">
        <w:tblPrEx>
          <w:tblW w:w="0" w:type="auto"/>
          <w:tblLayout w:type="fixed"/>
          <w:tblCellMar>
            <w:left w:w="62" w:type="dxa"/>
            <w:right w:w="62" w:type="dxa"/>
          </w:tblCellMar>
          <w:tblLook w:val="0000"/>
        </w:tblPrEx>
        <w:trPr>
          <w:tblHeader/>
        </w:trPr>
        <w:tc>
          <w:tcPr>
            <w:tcW w:w="2657" w:type="dxa"/>
            <w:gridSpan w:val="2"/>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Performance criteria describe the performance needed to demonstrate achievement of the element.</w:t>
            </w:r>
          </w:p>
        </w:tc>
      </w:tr>
      <w:tr w:rsidTr="00D500E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D500E7" w:rsidP="00D500E7">
            <w:pPr>
              <w:pStyle w:val="BodyText"/>
            </w:pPr>
            <w:r w:rsidRPr="00D500E7">
              <w:t>1</w:t>
            </w:r>
          </w:p>
        </w:tc>
        <w:tc>
          <w:tcPr>
            <w:tcW w:w="1974" w:type="dxa"/>
            <w:vMerge w:val="restart"/>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rPr>
                <w:rStyle w:val="SpecialBold"/>
              </w:rPr>
              <w:t>Determine job requirements</w:t>
            </w:r>
          </w:p>
        </w:tc>
        <w:tc>
          <w:tcPr>
            <w:tcW w:w="775"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1.1</w:t>
            </w:r>
          </w:p>
        </w:tc>
        <w:tc>
          <w:tcPr>
            <w:tcW w:w="5641"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Follow standard operating procedures (SOPs)</w:t>
            </w:r>
          </w:p>
        </w:tc>
      </w:tr>
      <w:tr w:rsidTr="00D500E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1.2</w:t>
            </w:r>
          </w:p>
        </w:tc>
        <w:tc>
          <w:tcPr>
            <w:tcW w:w="5641"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Comply with work health and safety (WHS) requirements at all times</w:t>
            </w:r>
          </w:p>
        </w:tc>
      </w:tr>
      <w:tr w:rsidTr="00D500E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1.3</w:t>
            </w:r>
          </w:p>
        </w:tc>
        <w:tc>
          <w:tcPr>
            <w:tcW w:w="5641"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Use appropriate personal protective equipment (PPE) in accordance with SOPs</w:t>
            </w:r>
          </w:p>
        </w:tc>
      </w:tr>
      <w:tr w:rsidTr="00D500E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1.4</w:t>
            </w:r>
          </w:p>
        </w:tc>
        <w:tc>
          <w:tcPr>
            <w:tcW w:w="5641"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Identify job requirements from specifications, drawings, job sheets or work instructions</w:t>
            </w:r>
          </w:p>
        </w:tc>
      </w:tr>
      <w:tr w:rsidTr="00D500E7">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D500E7">
            <w:pPr>
              <w:pStyle w:val="BodyText"/>
              <w:rPr>
                <w:lang w:val="en-NZ"/>
              </w:rPr>
            </w:pPr>
          </w:p>
        </w:tc>
      </w:tr>
      <w:tr w:rsidTr="00D500E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D500E7" w:rsidP="00D500E7">
            <w:pPr>
              <w:pStyle w:val="BodyText"/>
            </w:pPr>
            <w:r w:rsidRPr="00D500E7">
              <w:t>2</w:t>
            </w:r>
          </w:p>
        </w:tc>
        <w:tc>
          <w:tcPr>
            <w:tcW w:w="1974" w:type="dxa"/>
            <w:vMerge w:val="restart"/>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rPr>
                <w:rStyle w:val="SpecialBold"/>
              </w:rPr>
              <w:t>Undertake preventive maintenance checks/ adjustments</w:t>
            </w:r>
          </w:p>
        </w:tc>
        <w:tc>
          <w:tcPr>
            <w:tcW w:w="775"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2.1</w:t>
            </w:r>
          </w:p>
        </w:tc>
        <w:tc>
          <w:tcPr>
            <w:tcW w:w="5641"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Check the temperature, quality, properties and flow of air delivered by the air conditioning system for conformance to specification</w:t>
            </w:r>
          </w:p>
        </w:tc>
      </w:tr>
      <w:tr w:rsidTr="00D500E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2.2</w:t>
            </w:r>
          </w:p>
        </w:tc>
        <w:tc>
          <w:tcPr>
            <w:tcW w:w="5641"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Check the noise/vibration levels of the air conditioning system components for conformance to specification</w:t>
            </w:r>
          </w:p>
        </w:tc>
      </w:tr>
      <w:tr w:rsidTr="00D500E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2.3</w:t>
            </w:r>
          </w:p>
        </w:tc>
        <w:tc>
          <w:tcPr>
            <w:tcW w:w="5641"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P</w:t>
            </w:r>
            <w:r w:rsidRPr="00D500E7">
              <w:t>erform preventative maintenance tasks according to manufacturers</w:t>
            </w:r>
            <w:r>
              <w:t>’</w:t>
            </w:r>
            <w:r w:rsidRPr="00D500E7">
              <w:t xml:space="preserve"> specifications using refrigeration and air conditioning principles and techniques</w:t>
            </w:r>
          </w:p>
        </w:tc>
      </w:tr>
      <w:tr w:rsidTr="00D500E7">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D500E7">
            <w:pPr>
              <w:pStyle w:val="BodyText"/>
              <w:rPr>
                <w:lang w:val="en-NZ"/>
              </w:rPr>
            </w:pPr>
          </w:p>
        </w:tc>
      </w:tr>
      <w:tr w:rsidTr="00D500E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D500E7" w:rsidP="00D500E7">
            <w:pPr>
              <w:pStyle w:val="BodyText"/>
            </w:pPr>
            <w:r w:rsidRPr="00D500E7">
              <w:t>3</w:t>
            </w:r>
          </w:p>
        </w:tc>
        <w:tc>
          <w:tcPr>
            <w:tcW w:w="1974" w:type="dxa"/>
            <w:vMerge w:val="restart"/>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rPr>
                <w:rStyle w:val="SpecialBold"/>
              </w:rPr>
              <w:t>Undertake fault-finding</w:t>
            </w:r>
          </w:p>
        </w:tc>
        <w:tc>
          <w:tcPr>
            <w:tcW w:w="775"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3.1</w:t>
            </w:r>
          </w:p>
        </w:tc>
        <w:tc>
          <w:tcPr>
            <w:tcW w:w="5641"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Identify system components</w:t>
            </w:r>
          </w:p>
        </w:tc>
      </w:tr>
      <w:tr w:rsidTr="00D500E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3.2</w:t>
            </w:r>
          </w:p>
        </w:tc>
        <w:tc>
          <w:tcPr>
            <w:tcW w:w="5641"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Interpret the characteristics and operation of each component</w:t>
            </w:r>
          </w:p>
        </w:tc>
      </w:tr>
      <w:tr w:rsidTr="00D500E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3.3</w:t>
            </w:r>
          </w:p>
        </w:tc>
        <w:tc>
          <w:tcPr>
            <w:tcW w:w="5641"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Inspect and test the operational function of each component and assess correct operation against specification</w:t>
            </w:r>
          </w:p>
        </w:tc>
      </w:tr>
      <w:tr w:rsidTr="00D500E7">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D500E7">
            <w:pPr>
              <w:pStyle w:val="BodyText"/>
              <w:rPr>
                <w:lang w:val="en-NZ"/>
              </w:rPr>
            </w:pPr>
          </w:p>
        </w:tc>
      </w:tr>
      <w:tr w:rsidTr="00D500E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D500E7" w:rsidP="00D500E7">
            <w:pPr>
              <w:pStyle w:val="BodyText"/>
            </w:pPr>
            <w:r w:rsidRPr="00D500E7">
              <w:t>4</w:t>
            </w:r>
          </w:p>
        </w:tc>
        <w:tc>
          <w:tcPr>
            <w:tcW w:w="1974" w:type="dxa"/>
            <w:vMerge w:val="restart"/>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rPr>
                <w:rStyle w:val="SpecialBold"/>
              </w:rPr>
              <w:t>Repair/replace faulty components</w:t>
            </w:r>
          </w:p>
        </w:tc>
        <w:tc>
          <w:tcPr>
            <w:tcW w:w="775"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4.1</w:t>
            </w:r>
          </w:p>
        </w:tc>
        <w:tc>
          <w:tcPr>
            <w:tcW w:w="5641"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 xml:space="preserve">Localise faulty components and confirm malfunction </w:t>
            </w:r>
          </w:p>
        </w:tc>
      </w:tr>
      <w:tr w:rsidTr="00D500E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4.2</w:t>
            </w:r>
          </w:p>
        </w:tc>
        <w:tc>
          <w:tcPr>
            <w:tcW w:w="5641"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Remove the refrigerant from the system safely and contain in accordance with procedures and regulatory requirements, where appropriate</w:t>
            </w:r>
          </w:p>
        </w:tc>
      </w:tr>
      <w:tr w:rsidTr="00D500E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4.3</w:t>
            </w:r>
          </w:p>
        </w:tc>
        <w:tc>
          <w:tcPr>
            <w:tcW w:w="5641"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Dismantle faulty components and repair to manufacturers</w:t>
            </w:r>
            <w:r>
              <w:t>’</w:t>
            </w:r>
            <w:r w:rsidRPr="00D500E7">
              <w:t xml:space="preserve"> specifications, as required</w:t>
            </w:r>
          </w:p>
        </w:tc>
      </w:tr>
      <w:tr w:rsidTr="00D500E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4.4</w:t>
            </w:r>
          </w:p>
        </w:tc>
        <w:tc>
          <w:tcPr>
            <w:tcW w:w="5641"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Select replacement parts from manufacturers</w:t>
            </w:r>
            <w:r>
              <w:t>’</w:t>
            </w:r>
            <w:r w:rsidRPr="00D500E7">
              <w:t xml:space="preserve"> catalogues </w:t>
            </w:r>
          </w:p>
        </w:tc>
      </w:tr>
      <w:tr w:rsidTr="00D500E7">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D500E7">
            <w:pPr>
              <w:pStyle w:val="BodyText"/>
              <w:rPr>
                <w:lang w:val="en-NZ"/>
              </w:rPr>
            </w:pPr>
          </w:p>
        </w:tc>
      </w:tr>
      <w:tr w:rsidTr="00D500E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D500E7" w:rsidP="00D500E7">
            <w:pPr>
              <w:pStyle w:val="BodyText"/>
            </w:pPr>
            <w:r w:rsidRPr="00D500E7">
              <w:t>5</w:t>
            </w:r>
          </w:p>
        </w:tc>
        <w:tc>
          <w:tcPr>
            <w:tcW w:w="1974" w:type="dxa"/>
            <w:vMerge w:val="restart"/>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rPr>
                <w:rStyle w:val="SpecialBold"/>
              </w:rPr>
              <w:t>Return to service commercial air conditioning systems and components</w:t>
            </w:r>
          </w:p>
        </w:tc>
        <w:tc>
          <w:tcPr>
            <w:tcW w:w="775"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5.1</w:t>
            </w:r>
          </w:p>
        </w:tc>
        <w:tc>
          <w:tcPr>
            <w:tcW w:w="5641"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Reassemble components and test for correct operation and assess against specification</w:t>
            </w:r>
          </w:p>
        </w:tc>
      </w:tr>
      <w:tr w:rsidTr="00D500E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5.2</w:t>
            </w:r>
          </w:p>
        </w:tc>
        <w:tc>
          <w:tcPr>
            <w:tcW w:w="5641"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Charge the system with correct refrigerant safely and in accordance with procedures and regulatory requirements</w:t>
            </w:r>
          </w:p>
        </w:tc>
      </w:tr>
      <w:tr w:rsidTr="00D500E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5.3</w:t>
            </w:r>
          </w:p>
        </w:tc>
        <w:tc>
          <w:tcPr>
            <w:tcW w:w="5641"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 xml:space="preserve">Verify correct operation of the equipment </w:t>
            </w:r>
          </w:p>
        </w:tc>
      </w:tr>
      <w:tr w:rsidTr="00D500E7">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5.4</w:t>
            </w:r>
          </w:p>
        </w:tc>
        <w:tc>
          <w:tcPr>
            <w:tcW w:w="5641" w:type="dxa"/>
            <w:tcBorders>
              <w:top w:val="nil"/>
              <w:left w:val="nil"/>
              <w:bottom w:val="nil"/>
              <w:right w:val="nil"/>
            </w:tcBorders>
            <w:tcMar>
              <w:top w:w="0" w:type="dxa"/>
              <w:left w:w="62" w:type="dxa"/>
              <w:bottom w:w="0" w:type="dxa"/>
              <w:right w:w="62" w:type="dxa"/>
            </w:tcMar>
          </w:tcPr>
          <w:p w:rsidR="00000000" w:rsidRPr="00D500E7" w:rsidP="00D500E7">
            <w:pPr>
              <w:pStyle w:val="BodyText"/>
            </w:pPr>
            <w:r w:rsidRPr="00D500E7">
              <w:t>Complete maintenance records/service reports according to SOPs and legislative requirements</w:t>
            </w:r>
          </w:p>
        </w:tc>
      </w:tr>
    </w:tbl>
    <w:p w:rsidR="00A241A8" w:rsidP="00D500E7">
      <w:pPr>
        <w:pStyle w:val="BodyText"/>
      </w:pPr>
    </w:p>
    <w:p w:rsidR="00A241A8" w:rsidP="00D500E7">
      <w:pPr>
        <w:pStyle w:val="BodyText"/>
      </w:pPr>
    </w:p>
    <w:p w:rsidR="00000000" w:rsidRPr="00D500E7" w:rsidP="00D500E7">
      <w:pPr>
        <w:pStyle w:val="Heading1"/>
      </w:pPr>
      <w:bookmarkStart w:id="6" w:name="O_941715"/>
      <w:bookmarkEnd w:id="6"/>
      <w:r w:rsidRPr="00D500E7">
        <w:t>Foundation Skills</w:t>
      </w:r>
    </w:p>
    <w:p w:rsidR="00000000" w:rsidRPr="00D500E7" w:rsidP="00A241A8">
      <w:pPr>
        <w:pStyle w:val="BodyText"/>
      </w:pPr>
      <w:r w:rsidRPr="00D500E7">
        <w:t>This section describes those required skills (reading, writing, oral communication and numeracy) that are essential to w</w:t>
      </w:r>
      <w:r w:rsidRPr="00D500E7">
        <w:t xml:space="preserve">orkplace performance in this unit of competency.  </w:t>
      </w:r>
    </w:p>
    <w:p w:rsidR="00000000" w:rsidRPr="00D500E7" w:rsidP="00A241A8">
      <w:pPr>
        <w:pStyle w:val="BodyText"/>
      </w:pPr>
      <w:r w:rsidRPr="00D500E7">
        <w:t>Foundation skills essential to performance are explicit in the performance criteria of this unit of competency.</w:t>
      </w:r>
    </w:p>
    <w:p w:rsidR="00000000" w:rsidRPr="00D500E7" w:rsidP="00D500E7">
      <w:pPr>
        <w:pStyle w:val="Heading1"/>
      </w:pPr>
      <w:bookmarkStart w:id="7" w:name="O_941714"/>
      <w:bookmarkEnd w:id="7"/>
      <w:r w:rsidRPr="00D500E7">
        <w:t>Range of Conditions</w:t>
      </w:r>
    </w:p>
    <w:tbl>
      <w:tblPr>
        <w:tblW w:w="0" w:type="auto"/>
        <w:tblLayout w:type="fixed"/>
        <w:tblCellMar>
          <w:left w:w="62" w:type="dxa"/>
          <w:right w:w="62" w:type="dxa"/>
        </w:tblCellMar>
        <w:tblLook w:val="0000"/>
      </w:tblPr>
      <w:tblGrid>
        <w:gridCol w:w="2641"/>
        <w:gridCol w:w="6501"/>
      </w:tblGrid>
      <w:tr w:rsidTr="00D500E7">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t>This field allows for different work environments and c</w:t>
            </w:r>
            <w:r w:rsidRPr="00D500E7">
              <w:t>onditions that may affect performance. Essential operating conditions that may be present (depending on the work situation, needs of the candidate, accessibility of the item, and local industry and regional contexts) are included.</w:t>
            </w:r>
          </w:p>
        </w:tc>
      </w:tr>
      <w:tr w:rsidTr="00D500E7">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rPr>
                <w:rStyle w:val="SpecialBold"/>
              </w:rPr>
              <w:t>Test equipment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D500E7" w:rsidP="00D500E7">
            <w:pPr>
              <w:pStyle w:val="ListBullet"/>
            </w:pPr>
            <w:r w:rsidRPr="00D500E7">
              <w:t>service manifolds</w:t>
            </w:r>
          </w:p>
          <w:p w:rsidR="00000000" w:rsidRPr="00D500E7" w:rsidP="00D500E7">
            <w:pPr>
              <w:pStyle w:val="ListBullet"/>
            </w:pPr>
            <w:r w:rsidRPr="00D500E7">
              <w:t>measuring instruments/equipment for checking:</w:t>
            </w:r>
          </w:p>
          <w:p w:rsidR="00000000" w:rsidRPr="00D500E7" w:rsidP="00D500E7">
            <w:pPr>
              <w:pStyle w:val="ListBullet2"/>
            </w:pPr>
            <w:r w:rsidRPr="00D500E7">
              <w:t>air temperatures</w:t>
            </w:r>
          </w:p>
          <w:p w:rsidR="00000000" w:rsidRPr="00D500E7" w:rsidP="00D500E7">
            <w:pPr>
              <w:pStyle w:val="ListBullet2"/>
            </w:pPr>
            <w:r w:rsidRPr="00D500E7">
              <w:t>air flows</w:t>
            </w:r>
          </w:p>
          <w:p w:rsidR="00000000" w:rsidRPr="00D500E7" w:rsidP="00D500E7">
            <w:pPr>
              <w:pStyle w:val="ListBullet2"/>
            </w:pPr>
            <w:r w:rsidRPr="00D500E7">
              <w:t>air quality</w:t>
            </w:r>
          </w:p>
          <w:p w:rsidR="00000000" w:rsidRPr="00D500E7" w:rsidP="00D500E7">
            <w:pPr>
              <w:pStyle w:val="ListBullet2"/>
            </w:pPr>
            <w:r w:rsidRPr="00D500E7">
              <w:t>air properties</w:t>
            </w:r>
          </w:p>
          <w:p w:rsidR="00000000" w:rsidRPr="00D500E7" w:rsidP="00D500E7">
            <w:pPr>
              <w:pStyle w:val="ListBullet2"/>
            </w:pPr>
            <w:r w:rsidRPr="00D500E7">
              <w:t>noise and vibration levels</w:t>
            </w:r>
          </w:p>
          <w:p w:rsidR="00000000" w:rsidRPr="00D500E7" w:rsidP="00D500E7">
            <w:pPr>
              <w:pStyle w:val="ListBullet"/>
            </w:pPr>
            <w:r w:rsidRPr="00D500E7">
              <w:t>multimeter</w:t>
            </w:r>
          </w:p>
          <w:p w:rsidR="00000000" w:rsidRPr="00D500E7" w:rsidP="00D500E7">
            <w:pPr>
              <w:pStyle w:val="ListBullet"/>
            </w:pPr>
            <w:r w:rsidRPr="00D500E7">
              <w:t>ampmeter</w:t>
            </w:r>
          </w:p>
          <w:p w:rsidR="00000000" w:rsidRPr="00D500E7" w:rsidP="00D500E7">
            <w:pPr>
              <w:pStyle w:val="ListBullet"/>
            </w:pPr>
            <w:r w:rsidRPr="00D500E7">
              <w:t>insulation resistance tester</w:t>
            </w:r>
          </w:p>
          <w:p w:rsidR="00000000" w:rsidP="00D500E7">
            <w:pPr>
              <w:pStyle w:val="BodyText"/>
              <w:rPr>
                <w:lang w:val="en-NZ"/>
              </w:rPr>
            </w:pPr>
          </w:p>
        </w:tc>
      </w:tr>
      <w:tr w:rsidTr="00D500E7">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D500E7">
            <w:pPr>
              <w:pStyle w:val="BodyText"/>
              <w:rPr>
                <w:lang w:val="en-NZ"/>
              </w:rPr>
            </w:pPr>
            <w:r w:rsidRPr="00D500E7">
              <w:rPr>
                <w:rStyle w:val="SpecialBold"/>
              </w:rPr>
              <w:t>Preventative maintenance tasks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D500E7" w:rsidP="00D500E7">
            <w:pPr>
              <w:pStyle w:val="ListBullet"/>
            </w:pPr>
            <w:r w:rsidRPr="00D500E7">
              <w:t>check/adjust fan belts</w:t>
            </w:r>
          </w:p>
          <w:p w:rsidR="00000000" w:rsidRPr="00D500E7" w:rsidP="00D500E7">
            <w:pPr>
              <w:pStyle w:val="ListBullet"/>
            </w:pPr>
            <w:r w:rsidRPr="00D500E7">
              <w:t>check/clean filters</w:t>
            </w:r>
          </w:p>
          <w:p w:rsidR="00000000" w:rsidRPr="00D500E7" w:rsidP="00D500E7">
            <w:pPr>
              <w:pStyle w:val="ListBullet"/>
            </w:pPr>
            <w:r w:rsidRPr="00D500E7">
              <w:t>check/clean heat exchangers (evaporator and condenser)</w:t>
            </w:r>
          </w:p>
          <w:p w:rsidR="00000000" w:rsidRPr="00D500E7" w:rsidP="00D500E7">
            <w:pPr>
              <w:pStyle w:val="ListBullet"/>
            </w:pPr>
            <w:r w:rsidRPr="00D500E7">
              <w:t>overhaul of major system components</w:t>
            </w:r>
          </w:p>
          <w:p w:rsidR="00000000" w:rsidRPr="00D500E7" w:rsidP="00D500E7">
            <w:pPr>
              <w:pStyle w:val="ListBullet"/>
            </w:pPr>
            <w:r w:rsidRPr="00D500E7">
              <w:t>cleaning of major system components</w:t>
            </w:r>
          </w:p>
          <w:p w:rsidR="00000000" w:rsidRPr="00D500E7" w:rsidP="00D500E7">
            <w:pPr>
              <w:pStyle w:val="ListBullet"/>
            </w:pPr>
            <w:r w:rsidRPr="00D500E7">
              <w:t>testi</w:t>
            </w:r>
            <w:r w:rsidRPr="00D500E7">
              <w:t>ng operation of all safety devices</w:t>
            </w:r>
          </w:p>
          <w:p w:rsidR="00000000" w:rsidRPr="00D500E7" w:rsidP="00D500E7">
            <w:pPr>
              <w:pStyle w:val="BodyText"/>
            </w:pPr>
          </w:p>
        </w:tc>
      </w:tr>
    </w:tbl>
    <w:p w:rsidR="00000000" w:rsidRPr="00D500E7" w:rsidP="00D500E7">
      <w:pPr>
        <w:pStyle w:val="BodyText"/>
      </w:pPr>
    </w:p>
    <w:p w:rsidR="00000000" w:rsidRPr="00D500E7" w:rsidP="00D500E7">
      <w:pPr>
        <w:pStyle w:val="AllowPageBreak"/>
      </w:pPr>
    </w:p>
    <w:p w:rsidR="00000000" w:rsidRPr="00D500E7" w:rsidP="00D500E7">
      <w:pPr>
        <w:pStyle w:val="Heading1"/>
      </w:pPr>
      <w:bookmarkStart w:id="8" w:name="O_941713"/>
      <w:bookmarkEnd w:id="8"/>
      <w:r w:rsidRPr="00D500E7">
        <w:t>Unit Mapping Information</w:t>
      </w:r>
    </w:p>
    <w:p w:rsidR="00000000" w:rsidRPr="00D500E7" w:rsidP="00A241A8">
      <w:pPr>
        <w:pStyle w:val="BodyText"/>
      </w:pPr>
      <w:r w:rsidRPr="00D500E7">
        <w:t>Release 1. Supersedes and is equivalent to MEM18088B Maintain and repair commercial air conditioning systems and components</w:t>
      </w:r>
    </w:p>
    <w:p w:rsidR="00000000" w:rsidRPr="00D500E7" w:rsidP="00D500E7">
      <w:pPr>
        <w:pStyle w:val="Heading1"/>
      </w:pPr>
      <w:bookmarkStart w:id="9" w:name="O_941706"/>
      <w:bookmarkEnd w:id="9"/>
      <w:r w:rsidRPr="00D500E7">
        <w:t>Links</w:t>
      </w:r>
    </w:p>
    <w:p w:rsidR="00000000" w:rsidRPr="00D500E7" w:rsidP="00A241A8">
      <w:pPr>
        <w:pStyle w:val="BodyText"/>
      </w:pPr>
      <w:r w:rsidRPr="00D500E7">
        <w:t>Companion Volume implementati</w:t>
      </w:r>
      <w:r w:rsidRPr="00D500E7">
        <w:t xml:space="preserve">on guides are found in VETNet - </w:t>
      </w:r>
      <w:r>
        <w:fldChar w:fldCharType="begin"/>
      </w:r>
      <w:r>
        <w:instrText xml:space="preserve"> HYPERLINK "https://vetnet.gov.au/Pages/TrainingDocs.aspx?q=b7050d37-5fd0-4740-8f7d-3b7a49c10bb2" </w:instrText>
      </w:r>
      <w:r>
        <w:fldChar w:fldCharType="separate"/>
      </w:r>
      <w:r w:rsidRPr="00E77E0D">
        <w:rPr>
          <w:rStyle w:val="Hyperlink"/>
        </w:rPr>
        <w:t>https://vetnet.gov.au/Pages/TrainingDocs.aspx?q=b7050d37-5fd0-4740-8f7d-3b7a49c10bb2</w:t>
      </w:r>
      <w:r>
        <w:fldChar w:fldCharType="end"/>
      </w:r>
    </w:p>
    <w:p w:rsidR="00000000" w:rsidRPr="00D500E7" w:rsidP="00D500E7"/>
    <w:sectPr w:rsidSect="00D500E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0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0E7" w:rsidRPr="00A241A8" w:rsidP="00A241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0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1A8" w:rsidP="00D500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41A8" w:rsidP="00D500E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241A8" w:rsidP="00D500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0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1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00E7" w:rsidRPr="00A241A8" w:rsidP="00A241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0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1A8" w:rsidRPr="002D2AF8" w:rsidP="00D500E7">
    <w:pPr>
      <w:pStyle w:val="Header"/>
      <w:framePr w:wrap="around"/>
    </w:pPr>
    <w:r>
      <w:fldChar w:fldCharType="begin"/>
    </w:r>
    <w:r>
      <w:instrText xml:space="preserve"> TITLE   \* MERGEFORMAT </w:instrText>
    </w:r>
    <w:r>
      <w:fldChar w:fldCharType="separate"/>
    </w:r>
    <w:r>
      <w:t>MEM18088 Maintain and repair commercial air conditioning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A241A8" w:rsidP="00D500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1020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D243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24E0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0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00E7"/>
    <w:pPr>
      <w:spacing w:before="360" w:after="60"/>
      <w:outlineLvl w:val="0"/>
    </w:pPr>
    <w:rPr>
      <w:sz w:val="32"/>
    </w:rPr>
  </w:style>
  <w:style w:type="paragraph" w:styleId="Heading2">
    <w:name w:val="heading 2"/>
    <w:basedOn w:val="HeadingBase"/>
    <w:next w:val="BodyText"/>
    <w:link w:val="Heading2Char"/>
    <w:qFormat/>
    <w:rsid w:val="00D500E7"/>
    <w:pPr>
      <w:keepLines/>
      <w:spacing w:before="240" w:after="120"/>
      <w:outlineLvl w:val="1"/>
    </w:pPr>
    <w:rPr>
      <w:sz w:val="28"/>
      <w:szCs w:val="40"/>
    </w:rPr>
  </w:style>
  <w:style w:type="paragraph" w:styleId="Heading3">
    <w:name w:val="heading 3"/>
    <w:basedOn w:val="HeadingBase"/>
    <w:next w:val="BodyText"/>
    <w:link w:val="Heading3Char"/>
    <w:qFormat/>
    <w:rsid w:val="00D500E7"/>
    <w:pPr>
      <w:spacing w:before="180" w:after="120"/>
      <w:outlineLvl w:val="2"/>
    </w:pPr>
    <w:rPr>
      <w:spacing w:val="-10"/>
      <w:kern w:val="32"/>
    </w:rPr>
  </w:style>
  <w:style w:type="paragraph" w:styleId="Heading4">
    <w:name w:val="heading 4"/>
    <w:basedOn w:val="HeadingBase"/>
    <w:next w:val="BodyText"/>
    <w:link w:val="Heading4Char"/>
    <w:qFormat/>
    <w:rsid w:val="00D500E7"/>
    <w:pPr>
      <w:spacing w:before="160" w:after="120"/>
      <w:outlineLvl w:val="3"/>
    </w:pPr>
    <w:rPr>
      <w:sz w:val="22"/>
    </w:rPr>
  </w:style>
  <w:style w:type="paragraph" w:styleId="Heading5">
    <w:name w:val="heading 5"/>
    <w:basedOn w:val="HeadingBase"/>
    <w:next w:val="Normal"/>
    <w:link w:val="Heading5Char"/>
    <w:qFormat/>
    <w:rsid w:val="00D500E7"/>
    <w:pPr>
      <w:spacing w:before="80"/>
      <w:outlineLvl w:val="4"/>
    </w:pPr>
    <w:rPr>
      <w:color w:val="918585"/>
      <w:sz w:val="20"/>
    </w:rPr>
  </w:style>
  <w:style w:type="paragraph" w:styleId="Heading6">
    <w:name w:val="heading 6"/>
    <w:basedOn w:val="HeadingBase"/>
    <w:next w:val="Normal"/>
    <w:link w:val="Heading6Char"/>
    <w:qFormat/>
    <w:rsid w:val="00D500E7"/>
    <w:pPr>
      <w:spacing w:before="60"/>
      <w:outlineLvl w:val="5"/>
    </w:pPr>
    <w:rPr>
      <w:color w:val="918585"/>
      <w:sz w:val="20"/>
    </w:rPr>
  </w:style>
  <w:style w:type="paragraph" w:styleId="Heading7">
    <w:name w:val="heading 7"/>
    <w:basedOn w:val="Normal"/>
    <w:next w:val="Normal"/>
    <w:link w:val="Heading7Char"/>
    <w:qFormat/>
    <w:rsid w:val="00D500E7"/>
    <w:pPr>
      <w:ind w:left="720"/>
      <w:outlineLvl w:val="6"/>
    </w:pPr>
    <w:rPr>
      <w:i/>
    </w:rPr>
  </w:style>
  <w:style w:type="paragraph" w:styleId="Heading8">
    <w:name w:val="heading 8"/>
    <w:basedOn w:val="Normal"/>
    <w:next w:val="Normal"/>
    <w:link w:val="Heading8Char"/>
    <w:qFormat/>
    <w:rsid w:val="00D500E7"/>
    <w:pPr>
      <w:ind w:left="720"/>
      <w:outlineLvl w:val="7"/>
    </w:pPr>
    <w:rPr>
      <w:i/>
    </w:rPr>
  </w:style>
  <w:style w:type="paragraph" w:styleId="Heading9">
    <w:name w:val="heading 9"/>
    <w:basedOn w:val="Normal"/>
    <w:next w:val="Normal"/>
    <w:link w:val="Heading9Char"/>
    <w:qFormat/>
    <w:rsid w:val="00D500E7"/>
    <w:pPr>
      <w:ind w:left="720"/>
      <w:outlineLvl w:val="8"/>
    </w:pPr>
    <w:rPr>
      <w:i/>
    </w:rPr>
  </w:style>
  <w:style w:type="character" w:default="1" w:styleId="DefaultParagraphFont">
    <w:name w:val="Default Paragraph Font"/>
    <w:uiPriority w:val="1"/>
    <w:unhideWhenUsed/>
    <w:rsid w:val="00D500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00E7"/>
  </w:style>
  <w:style w:type="character" w:customStyle="1" w:styleId="Heading1Char">
    <w:name w:val="Heading 1 Char"/>
    <w:basedOn w:val="DefaultParagraphFont"/>
    <w:link w:val="Heading1"/>
    <w:rsid w:val="00D500E7"/>
    <w:rPr>
      <w:rFonts w:ascii="Times New Roman" w:eastAsia="Times New Roman" w:hAnsi="Times New Roman" w:cs="Times New Roman"/>
      <w:b/>
      <w:sz w:val="32"/>
      <w:szCs w:val="20"/>
      <w:lang w:eastAsia="en-US"/>
    </w:rPr>
  </w:style>
  <w:style w:type="paragraph" w:styleId="BodyText">
    <w:name w:val="Body Text"/>
    <w:basedOn w:val="Normal"/>
    <w:link w:val="BodyTextChar"/>
    <w:rsid w:val="00D500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00E7"/>
    <w:rPr>
      <w:rFonts w:ascii="Times New Roman" w:eastAsia="Times New Roman" w:hAnsi="Times New Roman" w:cs="Times New Roman"/>
      <w:sz w:val="24"/>
      <w:lang w:eastAsia="en-US"/>
    </w:rPr>
  </w:style>
  <w:style w:type="paragraph" w:styleId="ListBullet">
    <w:name w:val="List Bullet"/>
    <w:basedOn w:val="List"/>
    <w:rsid w:val="00D500E7"/>
    <w:pPr>
      <w:numPr>
        <w:numId w:val="12"/>
      </w:numPr>
      <w:tabs>
        <w:tab w:val="clear" w:pos="340"/>
      </w:tabs>
      <w:spacing w:before="40" w:after="40"/>
    </w:pPr>
  </w:style>
  <w:style w:type="character" w:customStyle="1" w:styleId="SpecialBold">
    <w:name w:val="Special Bold"/>
    <w:basedOn w:val="DefaultParagraphFont"/>
    <w:rsid w:val="00D500E7"/>
    <w:rPr>
      <w:b/>
      <w:spacing w:val="0"/>
    </w:rPr>
  </w:style>
  <w:style w:type="paragraph" w:styleId="ListBullet2">
    <w:name w:val="List Bullet 2"/>
    <w:basedOn w:val="List2"/>
    <w:rsid w:val="00D500E7"/>
    <w:pPr>
      <w:numPr>
        <w:numId w:val="13"/>
      </w:numPr>
      <w:tabs>
        <w:tab w:val="clear" w:pos="680"/>
      </w:tabs>
    </w:pPr>
  </w:style>
  <w:style w:type="paragraph" w:customStyle="1" w:styleId="SuperHeading">
    <w:name w:val="SuperHeading"/>
    <w:basedOn w:val="Normal"/>
    <w:rsid w:val="00D500E7"/>
    <w:pPr>
      <w:spacing w:before="240" w:after="120"/>
      <w:outlineLvl w:val="0"/>
    </w:pPr>
    <w:rPr>
      <w:rFonts w:ascii="Times New Roman" w:hAnsi="Times New Roman"/>
      <w:b/>
      <w:sz w:val="32"/>
    </w:rPr>
  </w:style>
  <w:style w:type="paragraph" w:customStyle="1" w:styleId="AllowPageBreak">
    <w:name w:val="AllowPageBreak"/>
    <w:rsid w:val="00D500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00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00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00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00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00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00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00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00E7"/>
    <w:rPr>
      <w:rFonts w:ascii="Courier New" w:eastAsia="Times New Roman" w:hAnsi="Courier New" w:cs="Times New Roman"/>
      <w:i/>
      <w:szCs w:val="20"/>
      <w:lang w:eastAsia="en-US"/>
    </w:rPr>
  </w:style>
  <w:style w:type="paragraph" w:customStyle="1" w:styleId="HeadingBase">
    <w:name w:val="Heading Base"/>
    <w:rsid w:val="00D500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00E7"/>
    <w:pPr>
      <w:tabs>
        <w:tab w:val="right" w:leader="dot" w:pos="9072"/>
      </w:tabs>
      <w:ind w:left="567"/>
    </w:pPr>
    <w:rPr>
      <w:szCs w:val="22"/>
    </w:rPr>
  </w:style>
  <w:style w:type="paragraph" w:customStyle="1" w:styleId="TOCBase">
    <w:name w:val="TOC Base"/>
    <w:rsid w:val="00D500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00E7"/>
    <w:pPr>
      <w:tabs>
        <w:tab w:val="right" w:leader="dot" w:pos="9072"/>
      </w:tabs>
      <w:spacing w:before="40" w:after="40"/>
      <w:ind w:left="284"/>
    </w:pPr>
    <w:rPr>
      <w:rFonts w:ascii="Times New Roman" w:hAnsi="Times New Roman"/>
    </w:rPr>
  </w:style>
  <w:style w:type="paragraph" w:styleId="TOC1">
    <w:name w:val="toc 1"/>
    <w:basedOn w:val="TOCBase"/>
    <w:next w:val="Normal"/>
    <w:rsid w:val="00D500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00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00E7"/>
    <w:rPr>
      <w:rFonts w:ascii="Times New Roman" w:eastAsia="Times New Roman" w:hAnsi="Times New Roman" w:cs="Times New Roman"/>
      <w:sz w:val="16"/>
      <w:lang w:eastAsia="en-US"/>
    </w:rPr>
  </w:style>
  <w:style w:type="paragraph" w:styleId="Title">
    <w:name w:val="Title"/>
    <w:basedOn w:val="HeadingBase"/>
    <w:link w:val="TitleChar"/>
    <w:qFormat/>
    <w:rsid w:val="00D500E7"/>
    <w:pPr>
      <w:spacing w:before="5040"/>
      <w:jc w:val="center"/>
    </w:pPr>
    <w:rPr>
      <w:sz w:val="48"/>
      <w:szCs w:val="72"/>
      <w:lang w:val="en-US"/>
    </w:rPr>
  </w:style>
  <w:style w:type="character" w:customStyle="1" w:styleId="TitleChar">
    <w:name w:val="Title Char"/>
    <w:basedOn w:val="DefaultParagraphFont"/>
    <w:link w:val="Title"/>
    <w:rsid w:val="00D500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00E7"/>
    <w:pPr>
      <w:tabs>
        <w:tab w:val="left" w:pos="3600"/>
        <w:tab w:val="left" w:pos="3958"/>
      </w:tabs>
    </w:pPr>
  </w:style>
  <w:style w:type="paragraph" w:styleId="List">
    <w:name w:val="List"/>
    <w:basedOn w:val="BodyText"/>
    <w:next w:val="BodyText"/>
    <w:rsid w:val="00D500E7"/>
    <w:pPr>
      <w:tabs>
        <w:tab w:val="left" w:pos="340"/>
      </w:tabs>
      <w:spacing w:before="60" w:after="60"/>
      <w:ind w:left="340" w:hanging="340"/>
    </w:pPr>
  </w:style>
  <w:style w:type="paragraph" w:customStyle="1" w:styleId="Note">
    <w:name w:val="Note"/>
    <w:basedOn w:val="BodyText"/>
    <w:rsid w:val="00D500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00E7"/>
    <w:pPr>
      <w:framePr w:wrap="auto" w:hAnchor="text" w:y="6049"/>
    </w:pPr>
    <w:rPr>
      <w:color w:val="000000"/>
      <w:sz w:val="40"/>
    </w:rPr>
  </w:style>
  <w:style w:type="paragraph" w:customStyle="1" w:styleId="TOCTitle">
    <w:name w:val="TOCTitle"/>
    <w:basedOn w:val="Heading1"/>
    <w:rsid w:val="00D500E7"/>
    <w:pPr>
      <w:spacing w:after="240"/>
      <w:jc w:val="center"/>
      <w:outlineLvl w:val="9"/>
    </w:pPr>
    <w:rPr>
      <w:caps/>
    </w:rPr>
  </w:style>
  <w:style w:type="paragraph" w:customStyle="1" w:styleId="Version">
    <w:name w:val="Version"/>
    <w:rsid w:val="00D500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00E7"/>
    <w:pPr>
      <w:keepNext w:val="0"/>
      <w:tabs>
        <w:tab w:val="right" w:pos="4176"/>
      </w:tabs>
      <w:ind w:left="198" w:hanging="198"/>
    </w:pPr>
    <w:rPr>
      <w:rFonts w:ascii="Garamond" w:hAnsi="Garamond"/>
    </w:rPr>
  </w:style>
  <w:style w:type="paragraph" w:styleId="IndexHeading">
    <w:name w:val="index heading"/>
    <w:basedOn w:val="Normal"/>
    <w:next w:val="Index1"/>
    <w:semiHidden/>
    <w:rsid w:val="00D500E7"/>
    <w:pPr>
      <w:spacing w:before="120" w:after="120"/>
    </w:pPr>
    <w:rPr>
      <w:rFonts w:ascii="Arial" w:hAnsi="Arial"/>
      <w:b/>
      <w:color w:val="918585"/>
      <w:sz w:val="24"/>
    </w:rPr>
  </w:style>
  <w:style w:type="paragraph" w:styleId="Header">
    <w:name w:val="header"/>
    <w:basedOn w:val="Normal"/>
    <w:link w:val="HeaderChar"/>
    <w:rsid w:val="00D500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00E7"/>
    <w:rPr>
      <w:rFonts w:ascii="Times New Roman" w:eastAsia="Times New Roman" w:hAnsi="Times New Roman" w:cs="Times New Roman"/>
      <w:sz w:val="16"/>
      <w:szCs w:val="20"/>
      <w:lang w:val="en-GB" w:eastAsia="en-US"/>
    </w:rPr>
  </w:style>
  <w:style w:type="paragraph" w:customStyle="1" w:styleId="Chapter">
    <w:name w:val="Chapter"/>
    <w:basedOn w:val="Normal"/>
    <w:rsid w:val="00D500E7"/>
    <w:pPr>
      <w:spacing w:before="240"/>
    </w:pPr>
    <w:rPr>
      <w:rFonts w:ascii="Times New Roman" w:hAnsi="Times New Roman"/>
      <w:smallCaps/>
      <w:spacing w:val="80"/>
      <w:sz w:val="28"/>
    </w:rPr>
  </w:style>
  <w:style w:type="paragraph" w:customStyle="1" w:styleId="InChapter">
    <w:name w:val="InChapter"/>
    <w:basedOn w:val="Heading3"/>
    <w:rsid w:val="00D500E7"/>
    <w:pPr>
      <w:spacing w:after="240"/>
      <w:outlineLvl w:val="9"/>
    </w:pPr>
    <w:rPr>
      <w:noProof/>
    </w:rPr>
  </w:style>
  <w:style w:type="paragraph" w:styleId="Index2">
    <w:name w:val="index 2"/>
    <w:basedOn w:val="Normal"/>
    <w:next w:val="Normal"/>
    <w:semiHidden/>
    <w:rsid w:val="00D500E7"/>
    <w:pPr>
      <w:tabs>
        <w:tab w:val="right" w:pos="4176"/>
      </w:tabs>
      <w:ind w:left="568" w:hanging="284"/>
    </w:pPr>
    <w:rPr>
      <w:rFonts w:ascii="Garamond" w:hAnsi="Garamond"/>
    </w:rPr>
  </w:style>
  <w:style w:type="paragraph" w:customStyle="1" w:styleId="Byline">
    <w:name w:val="Byline"/>
    <w:rsid w:val="00D500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00E7"/>
    <w:pPr>
      <w:tabs>
        <w:tab w:val="clear" w:pos="3600"/>
        <w:tab w:val="clear" w:pos="3958"/>
      </w:tabs>
      <w:jc w:val="right"/>
    </w:pPr>
  </w:style>
  <w:style w:type="character" w:styleId="Emphasis">
    <w:name w:val="Emphasis"/>
    <w:basedOn w:val="DefaultParagraphFont"/>
    <w:qFormat/>
    <w:rsid w:val="00D500E7"/>
    <w:rPr>
      <w:i/>
    </w:rPr>
  </w:style>
  <w:style w:type="paragraph" w:styleId="Caption">
    <w:name w:val="caption"/>
    <w:basedOn w:val="BodyText"/>
    <w:next w:val="Normal"/>
    <w:qFormat/>
    <w:rsid w:val="00D500E7"/>
    <w:pPr>
      <w:framePr w:w="2268" w:hSpace="181" w:vSpace="181" w:wrap="around" w:vAnchor="text" w:hAnchor="page" w:x="1135" w:y="285" w:anchorLock="1"/>
    </w:pPr>
    <w:rPr>
      <w:i/>
    </w:rPr>
  </w:style>
  <w:style w:type="paragraph" w:customStyle="1" w:styleId="MiniTOCTitle">
    <w:name w:val="MiniTOCTitle"/>
    <w:basedOn w:val="Heading4"/>
    <w:rsid w:val="00D500E7"/>
    <w:pPr>
      <w:spacing w:before="240"/>
      <w:outlineLvl w:val="9"/>
    </w:pPr>
    <w:rPr>
      <w:noProof/>
      <w:sz w:val="24"/>
    </w:rPr>
  </w:style>
  <w:style w:type="paragraph" w:customStyle="1" w:styleId="MiniTOCItem">
    <w:name w:val="MiniTOCItem"/>
    <w:basedOn w:val="ListBullet"/>
    <w:rsid w:val="00D500E7"/>
    <w:pPr>
      <w:numPr>
        <w:numId w:val="0"/>
      </w:numPr>
      <w:tabs>
        <w:tab w:val="right" w:leader="dot" w:pos="6521"/>
      </w:tabs>
      <w:spacing w:before="0" w:after="0"/>
    </w:pPr>
  </w:style>
  <w:style w:type="paragraph" w:customStyle="1" w:styleId="TOFTitle">
    <w:name w:val="TOFTitle"/>
    <w:basedOn w:val="TOCTitle"/>
    <w:rsid w:val="00D500E7"/>
  </w:style>
  <w:style w:type="paragraph" w:styleId="TableofFigures">
    <w:name w:val="table of figures"/>
    <w:basedOn w:val="Normal"/>
    <w:next w:val="Normal"/>
    <w:semiHidden/>
    <w:rsid w:val="00D500E7"/>
    <w:pPr>
      <w:tabs>
        <w:tab w:val="right" w:leader="dot" w:pos="9072"/>
      </w:tabs>
      <w:ind w:left="970" w:hanging="403"/>
    </w:pPr>
    <w:rPr>
      <w:rFonts w:ascii="Times New Roman" w:hAnsi="Times New Roman"/>
      <w:b/>
    </w:rPr>
  </w:style>
  <w:style w:type="paragraph" w:styleId="ListNumber">
    <w:name w:val="List Number"/>
    <w:basedOn w:val="List"/>
    <w:rsid w:val="00D500E7"/>
    <w:pPr>
      <w:numPr>
        <w:numId w:val="15"/>
      </w:numPr>
      <w:tabs>
        <w:tab w:val="clear" w:pos="340"/>
      </w:tabs>
    </w:pPr>
  </w:style>
  <w:style w:type="character" w:customStyle="1" w:styleId="WingdingSymbols">
    <w:name w:val="Wingding Symbols"/>
    <w:rsid w:val="00D500E7"/>
    <w:rPr>
      <w:rFonts w:ascii="Wingdings" w:hAnsi="Wingdings"/>
    </w:rPr>
  </w:style>
  <w:style w:type="paragraph" w:customStyle="1" w:styleId="TableHeading">
    <w:name w:val="Table Heading"/>
    <w:basedOn w:val="HeadingBase"/>
    <w:rsid w:val="00D500E7"/>
    <w:pPr>
      <w:keepLines/>
      <w:pBdr>
        <w:bottom w:val="single" w:sz="6" w:space="1" w:color="918585"/>
      </w:pBdr>
      <w:spacing w:before="240"/>
    </w:pPr>
  </w:style>
  <w:style w:type="character" w:customStyle="1" w:styleId="HotSpot">
    <w:name w:val="HotSpot"/>
    <w:rsid w:val="00D500E7"/>
    <w:rPr>
      <w:color w:val="0033CC"/>
      <w:u w:val="none"/>
    </w:rPr>
  </w:style>
  <w:style w:type="paragraph" w:customStyle="1" w:styleId="BodyTextRight">
    <w:name w:val="Body Text Right"/>
    <w:basedOn w:val="BodyText"/>
    <w:rsid w:val="00D500E7"/>
    <w:pPr>
      <w:spacing w:before="0" w:after="0"/>
      <w:jc w:val="right"/>
    </w:pPr>
  </w:style>
  <w:style w:type="paragraph" w:styleId="Index3">
    <w:name w:val="index 3"/>
    <w:basedOn w:val="ListNumber2"/>
    <w:next w:val="Normal"/>
    <w:semiHidden/>
    <w:rsid w:val="00D500E7"/>
    <w:pPr>
      <w:numPr>
        <w:numId w:val="0"/>
      </w:numPr>
      <w:tabs>
        <w:tab w:val="right" w:leader="dot" w:pos="4176"/>
      </w:tabs>
    </w:pPr>
  </w:style>
  <w:style w:type="paragraph" w:styleId="ListNumber2">
    <w:name w:val="List Number 2"/>
    <w:basedOn w:val="List2"/>
    <w:rsid w:val="00D500E7"/>
    <w:pPr>
      <w:numPr>
        <w:numId w:val="10"/>
      </w:numPr>
      <w:tabs>
        <w:tab w:val="clear" w:pos="1060"/>
      </w:tabs>
    </w:pPr>
  </w:style>
  <w:style w:type="paragraph" w:customStyle="1" w:styleId="MarginNote">
    <w:name w:val="Margin Note"/>
    <w:basedOn w:val="BodyText"/>
    <w:rsid w:val="00D500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00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00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00E7"/>
    <w:rPr>
      <w:sz w:val="32"/>
    </w:rPr>
  </w:style>
  <w:style w:type="paragraph" w:customStyle="1" w:styleId="HeadingProcedure">
    <w:name w:val="Heading Procedure"/>
    <w:basedOn w:val="HeadingBase"/>
    <w:next w:val="Normal"/>
    <w:rsid w:val="00D500E7"/>
    <w:pPr>
      <w:tabs>
        <w:tab w:val="left" w:pos="0"/>
      </w:tabs>
      <w:spacing w:before="120" w:after="60"/>
    </w:pPr>
    <w:rPr>
      <w:i/>
      <w:color w:val="918585"/>
      <w:sz w:val="22"/>
    </w:rPr>
  </w:style>
  <w:style w:type="paragraph" w:customStyle="1" w:styleId="TableBodyText">
    <w:name w:val="Table Body Text"/>
    <w:basedOn w:val="BodyText"/>
    <w:rsid w:val="00D500E7"/>
    <w:pPr>
      <w:spacing w:before="60" w:after="60"/>
    </w:pPr>
  </w:style>
  <w:style w:type="paragraph" w:styleId="ListContinue">
    <w:name w:val="List Continue"/>
    <w:basedOn w:val="List"/>
    <w:rsid w:val="00D500E7"/>
    <w:pPr>
      <w:ind w:firstLine="0"/>
    </w:pPr>
  </w:style>
  <w:style w:type="paragraph" w:customStyle="1" w:styleId="ListNote">
    <w:name w:val="List Note"/>
    <w:basedOn w:val="List"/>
    <w:rsid w:val="00D500E7"/>
    <w:pPr>
      <w:pBdr>
        <w:top w:val="single" w:sz="6" w:space="2" w:color="918585"/>
        <w:bottom w:val="single" w:sz="6" w:space="2" w:color="918585"/>
      </w:pBdr>
      <w:tabs>
        <w:tab w:val="left" w:pos="1021"/>
      </w:tabs>
      <w:ind w:firstLine="0"/>
    </w:pPr>
  </w:style>
  <w:style w:type="paragraph" w:customStyle="1" w:styleId="Warning">
    <w:name w:val="Warning"/>
    <w:basedOn w:val="BodyText"/>
    <w:rsid w:val="00D500E7"/>
    <w:pPr>
      <w:shd w:val="clear" w:color="auto" w:fill="D9D9D9"/>
      <w:tabs>
        <w:tab w:val="left" w:pos="992"/>
      </w:tabs>
      <w:ind w:left="119" w:right="119"/>
    </w:pPr>
    <w:rPr>
      <w:sz w:val="20"/>
    </w:rPr>
  </w:style>
  <w:style w:type="paragraph" w:customStyle="1" w:styleId="MarginIcons">
    <w:name w:val="Margin Icons"/>
    <w:basedOn w:val="BodyText"/>
    <w:rsid w:val="00D500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00E7"/>
    <w:rPr>
      <w:rFonts w:ascii="Courier New" w:hAnsi="Courier New"/>
    </w:rPr>
  </w:style>
  <w:style w:type="paragraph" w:customStyle="1" w:styleId="NoteBullet">
    <w:name w:val="Note Bullet"/>
    <w:basedOn w:val="Note"/>
    <w:rsid w:val="00D500E7"/>
    <w:pPr>
      <w:tabs>
        <w:tab w:val="clear" w:pos="680"/>
      </w:tabs>
      <w:spacing w:before="60" w:after="60"/>
    </w:pPr>
  </w:style>
  <w:style w:type="paragraph" w:customStyle="1" w:styleId="SubHeading2">
    <w:name w:val="SubHeading2"/>
    <w:basedOn w:val="HeadingBase"/>
    <w:rsid w:val="00D500E7"/>
    <w:pPr>
      <w:spacing w:before="240" w:after="60"/>
    </w:pPr>
    <w:rPr>
      <w:sz w:val="20"/>
    </w:rPr>
  </w:style>
  <w:style w:type="paragraph" w:customStyle="1" w:styleId="SubHeading1">
    <w:name w:val="SubHeading1"/>
    <w:basedOn w:val="HeadingBase"/>
    <w:rsid w:val="00D500E7"/>
    <w:pPr>
      <w:spacing w:before="240" w:after="60"/>
    </w:pPr>
    <w:rPr>
      <w:color w:val="918585"/>
      <w:sz w:val="22"/>
    </w:rPr>
  </w:style>
  <w:style w:type="paragraph" w:customStyle="1" w:styleId="SideHeading">
    <w:name w:val="Side Heading"/>
    <w:basedOn w:val="HeadingBase"/>
    <w:rsid w:val="00D500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00E7"/>
    <w:pPr>
      <w:tabs>
        <w:tab w:val="num" w:pos="360"/>
      </w:tabs>
    </w:pPr>
  </w:style>
  <w:style w:type="paragraph" w:styleId="PlainText">
    <w:name w:val="Plain Text"/>
    <w:basedOn w:val="Normal"/>
    <w:link w:val="PlainTextChar"/>
    <w:rsid w:val="00D500E7"/>
    <w:rPr>
      <w:sz w:val="20"/>
    </w:rPr>
  </w:style>
  <w:style w:type="character" w:customStyle="1" w:styleId="PlainTextChar">
    <w:name w:val="Plain Text Char"/>
    <w:basedOn w:val="DefaultParagraphFont"/>
    <w:link w:val="PlainText"/>
    <w:rsid w:val="00D500E7"/>
    <w:rPr>
      <w:rFonts w:ascii="Courier New" w:eastAsia="Times New Roman" w:hAnsi="Courier New" w:cs="Times New Roman"/>
      <w:sz w:val="20"/>
      <w:szCs w:val="20"/>
      <w:lang w:eastAsia="en-US"/>
    </w:rPr>
  </w:style>
  <w:style w:type="character" w:customStyle="1" w:styleId="MenuOption">
    <w:name w:val="Menu Option"/>
    <w:basedOn w:val="DefaultParagraphFont"/>
    <w:rsid w:val="00D500E7"/>
    <w:rPr>
      <w:b/>
      <w:smallCaps/>
    </w:rPr>
  </w:style>
  <w:style w:type="paragraph" w:customStyle="1" w:styleId="TableListNumber">
    <w:name w:val="Table List Number"/>
    <w:basedOn w:val="ListNumber"/>
    <w:rsid w:val="00D500E7"/>
    <w:pPr>
      <w:numPr>
        <w:numId w:val="0"/>
      </w:numPr>
    </w:pPr>
  </w:style>
  <w:style w:type="paragraph" w:styleId="TOC4">
    <w:name w:val="toc 4"/>
    <w:basedOn w:val="TOCBase"/>
    <w:next w:val="Normal"/>
    <w:semiHidden/>
    <w:rsid w:val="00D500E7"/>
    <w:pPr>
      <w:tabs>
        <w:tab w:val="right" w:leader="dot" w:pos="9071"/>
      </w:tabs>
      <w:ind w:left="1701"/>
    </w:pPr>
  </w:style>
  <w:style w:type="paragraph" w:customStyle="1" w:styleId="ListAlpha">
    <w:name w:val="List Alpha"/>
    <w:basedOn w:val="List"/>
    <w:rsid w:val="00D500E7"/>
    <w:pPr>
      <w:numPr>
        <w:numId w:val="9"/>
      </w:numPr>
    </w:pPr>
  </w:style>
  <w:style w:type="paragraph" w:customStyle="1" w:styleId="ListAlpha2">
    <w:name w:val="List Alpha 2"/>
    <w:basedOn w:val="List2"/>
    <w:rsid w:val="00D500E7"/>
    <w:pPr>
      <w:numPr>
        <w:numId w:val="8"/>
      </w:numPr>
    </w:pPr>
  </w:style>
  <w:style w:type="paragraph" w:styleId="List2">
    <w:name w:val="List 2"/>
    <w:basedOn w:val="BodyText"/>
    <w:rsid w:val="00D500E7"/>
    <w:pPr>
      <w:tabs>
        <w:tab w:val="left" w:pos="680"/>
      </w:tabs>
      <w:spacing w:before="60" w:after="60"/>
      <w:ind w:left="680" w:hanging="340"/>
    </w:pPr>
  </w:style>
  <w:style w:type="paragraph" w:styleId="List3">
    <w:name w:val="List 3"/>
    <w:basedOn w:val="BodyText"/>
    <w:rsid w:val="00D500E7"/>
    <w:pPr>
      <w:tabs>
        <w:tab w:val="left" w:pos="1021"/>
      </w:tabs>
      <w:spacing w:before="60" w:after="60"/>
      <w:ind w:left="1020" w:hanging="340"/>
    </w:pPr>
  </w:style>
  <w:style w:type="paragraph" w:styleId="List4">
    <w:name w:val="List 4"/>
    <w:basedOn w:val="BodyText"/>
    <w:rsid w:val="00D500E7"/>
    <w:pPr>
      <w:tabs>
        <w:tab w:val="left" w:pos="1361"/>
      </w:tabs>
      <w:spacing w:before="60" w:after="60"/>
      <w:ind w:left="1361" w:hanging="340"/>
    </w:pPr>
  </w:style>
  <w:style w:type="paragraph" w:styleId="List5">
    <w:name w:val="List 5"/>
    <w:basedOn w:val="BodyText"/>
    <w:rsid w:val="00D500E7"/>
    <w:pPr>
      <w:tabs>
        <w:tab w:val="left" w:pos="1701"/>
      </w:tabs>
      <w:spacing w:before="60" w:after="60"/>
      <w:ind w:left="1701" w:hanging="340"/>
    </w:pPr>
  </w:style>
  <w:style w:type="paragraph" w:styleId="ListBullet3">
    <w:name w:val="List Bullet 3"/>
    <w:basedOn w:val="List3"/>
    <w:rsid w:val="00D500E7"/>
    <w:pPr>
      <w:numPr>
        <w:numId w:val="14"/>
      </w:numPr>
      <w:tabs>
        <w:tab w:val="clear" w:pos="1021"/>
      </w:tabs>
      <w:ind w:left="1037" w:hanging="357"/>
    </w:pPr>
  </w:style>
  <w:style w:type="paragraph" w:styleId="ListBullet4">
    <w:name w:val="List Bullet 4"/>
    <w:basedOn w:val="List4"/>
    <w:rsid w:val="00D500E7"/>
    <w:pPr>
      <w:numPr>
        <w:numId w:val="3"/>
      </w:numPr>
      <w:tabs>
        <w:tab w:val="clear" w:pos="1361"/>
      </w:tabs>
    </w:pPr>
  </w:style>
  <w:style w:type="paragraph" w:styleId="ListBullet5">
    <w:name w:val="List Bullet 5"/>
    <w:basedOn w:val="List5"/>
    <w:rsid w:val="00D500E7"/>
    <w:pPr>
      <w:numPr>
        <w:numId w:val="4"/>
      </w:numPr>
    </w:pPr>
  </w:style>
  <w:style w:type="paragraph" w:styleId="ListContinue2">
    <w:name w:val="List Continue 2"/>
    <w:basedOn w:val="List2"/>
    <w:rsid w:val="00D500E7"/>
    <w:pPr>
      <w:ind w:firstLine="0"/>
    </w:pPr>
  </w:style>
  <w:style w:type="paragraph" w:styleId="ListContinue3">
    <w:name w:val="List Continue 3"/>
    <w:basedOn w:val="List3"/>
    <w:rsid w:val="00D500E7"/>
    <w:pPr>
      <w:ind w:left="1021" w:firstLine="0"/>
    </w:pPr>
  </w:style>
  <w:style w:type="paragraph" w:styleId="ListContinue4">
    <w:name w:val="List Continue 4"/>
    <w:basedOn w:val="List4"/>
    <w:rsid w:val="00D500E7"/>
    <w:pPr>
      <w:ind w:firstLine="0"/>
    </w:pPr>
  </w:style>
  <w:style w:type="paragraph" w:styleId="ListContinue5">
    <w:name w:val="List Continue 5"/>
    <w:basedOn w:val="List5"/>
    <w:rsid w:val="00D500E7"/>
    <w:pPr>
      <w:ind w:firstLine="0"/>
    </w:pPr>
  </w:style>
  <w:style w:type="paragraph" w:styleId="ListNumber3">
    <w:name w:val="List Number 3"/>
    <w:basedOn w:val="List3"/>
    <w:rsid w:val="00D500E7"/>
    <w:pPr>
      <w:numPr>
        <w:numId w:val="5"/>
      </w:numPr>
    </w:pPr>
  </w:style>
  <w:style w:type="paragraph" w:styleId="ListNumber4">
    <w:name w:val="List Number 4"/>
    <w:basedOn w:val="List4"/>
    <w:rsid w:val="00D500E7"/>
    <w:pPr>
      <w:numPr>
        <w:numId w:val="6"/>
      </w:numPr>
    </w:pPr>
  </w:style>
  <w:style w:type="paragraph" w:styleId="ListNumber5">
    <w:name w:val="List Number 5"/>
    <w:basedOn w:val="List5"/>
    <w:rsid w:val="00D500E7"/>
    <w:pPr>
      <w:numPr>
        <w:numId w:val="7"/>
      </w:numPr>
    </w:pPr>
  </w:style>
  <w:style w:type="paragraph" w:styleId="BlockText">
    <w:name w:val="Block Text"/>
    <w:basedOn w:val="Normal"/>
    <w:rsid w:val="00D500E7"/>
    <w:pPr>
      <w:spacing w:after="120"/>
      <w:ind w:left="1440" w:right="1440"/>
    </w:pPr>
  </w:style>
  <w:style w:type="character" w:customStyle="1" w:styleId="Subscript">
    <w:name w:val="Subscript"/>
    <w:basedOn w:val="DefaultParagraphFont"/>
    <w:rsid w:val="00D500E7"/>
    <w:rPr>
      <w:sz w:val="16"/>
      <w:vertAlign w:val="subscript"/>
    </w:rPr>
  </w:style>
  <w:style w:type="character" w:customStyle="1" w:styleId="Superscript">
    <w:name w:val="Superscript"/>
    <w:basedOn w:val="DefaultParagraphFont"/>
    <w:rsid w:val="00D500E7"/>
    <w:rPr>
      <w:sz w:val="16"/>
      <w:vertAlign w:val="superscript"/>
    </w:rPr>
  </w:style>
  <w:style w:type="character" w:customStyle="1" w:styleId="Symbols">
    <w:name w:val="Symbols"/>
    <w:basedOn w:val="DefaultParagraphFont"/>
    <w:rsid w:val="00D500E7"/>
    <w:rPr>
      <w:rFonts w:ascii="Symbol" w:hAnsi="Symbol"/>
    </w:rPr>
  </w:style>
  <w:style w:type="character" w:customStyle="1" w:styleId="MenuOptions">
    <w:name w:val="Menu Options"/>
    <w:basedOn w:val="DefaultParagraphFont"/>
    <w:rsid w:val="00D500E7"/>
    <w:rPr>
      <w:rFonts w:ascii="Arial Narrow" w:hAnsi="Arial Narrow"/>
      <w:smallCaps/>
    </w:rPr>
  </w:style>
  <w:style w:type="character" w:customStyle="1" w:styleId="Buttons">
    <w:name w:val="Buttons"/>
    <w:basedOn w:val="DefaultParagraphFont"/>
    <w:rsid w:val="00D500E7"/>
    <w:rPr>
      <w:b/>
    </w:rPr>
  </w:style>
  <w:style w:type="character" w:customStyle="1" w:styleId="Underlined">
    <w:name w:val="Underlined"/>
    <w:basedOn w:val="DefaultParagraphFont"/>
    <w:rsid w:val="00D500E7"/>
    <w:rPr>
      <w:u w:val="single"/>
    </w:rPr>
  </w:style>
  <w:style w:type="paragraph" w:customStyle="1" w:styleId="TableBodyTextRight">
    <w:name w:val="Table Body Text Right"/>
    <w:basedOn w:val="TableBodyText"/>
    <w:rsid w:val="00D500E7"/>
    <w:pPr>
      <w:widowControl w:val="0"/>
      <w:autoSpaceDE w:val="0"/>
      <w:autoSpaceDN w:val="0"/>
      <w:adjustRightInd w:val="0"/>
      <w:jc w:val="right"/>
    </w:pPr>
    <w:rPr>
      <w:rFonts w:cs="Arial"/>
      <w:szCs w:val="18"/>
    </w:rPr>
  </w:style>
  <w:style w:type="paragraph" w:customStyle="1" w:styleId="CopyrightText">
    <w:name w:val="Copyright Text"/>
    <w:basedOn w:val="BodyText"/>
    <w:rsid w:val="00D500E7"/>
    <w:rPr>
      <w:sz w:val="18"/>
    </w:rPr>
  </w:style>
  <w:style w:type="paragraph" w:customStyle="1" w:styleId="BodySmallRight">
    <w:name w:val="Body Small Right"/>
    <w:basedOn w:val="BodyTextRight"/>
    <w:rsid w:val="00D500E7"/>
    <w:rPr>
      <w:sz w:val="18"/>
      <w:szCs w:val="18"/>
    </w:rPr>
  </w:style>
  <w:style w:type="paragraph" w:customStyle="1" w:styleId="MarginEdition">
    <w:name w:val="Margin Edition"/>
    <w:basedOn w:val="MarginNote"/>
    <w:rsid w:val="00D500E7"/>
    <w:pPr>
      <w:spacing w:before="0" w:after="0"/>
    </w:pPr>
    <w:rPr>
      <w:rFonts w:ascii="Times New Roman" w:hAnsi="Times New Roman"/>
      <w:color w:val="999999"/>
    </w:rPr>
  </w:style>
  <w:style w:type="paragraph" w:customStyle="1" w:styleId="Spacer">
    <w:name w:val="Spacer"/>
    <w:basedOn w:val="Normal"/>
    <w:rsid w:val="00D500E7"/>
    <w:rPr>
      <w:sz w:val="2"/>
      <w:szCs w:val="2"/>
    </w:rPr>
  </w:style>
  <w:style w:type="character" w:customStyle="1" w:styleId="Small">
    <w:name w:val="Small"/>
    <w:basedOn w:val="DefaultParagraphFont"/>
    <w:rsid w:val="00D500E7"/>
    <w:rPr>
      <w:sz w:val="16"/>
    </w:rPr>
  </w:style>
  <w:style w:type="paragraph" w:customStyle="1" w:styleId="WideTable">
    <w:name w:val="Wide Table"/>
    <w:basedOn w:val="Normal"/>
    <w:rsid w:val="00D500E7"/>
    <w:pPr>
      <w:ind w:left="-1418"/>
    </w:pPr>
    <w:rPr>
      <w:sz w:val="2"/>
      <w:szCs w:val="2"/>
    </w:rPr>
  </w:style>
  <w:style w:type="character" w:styleId="PageNumber">
    <w:name w:val="page number"/>
    <w:basedOn w:val="DefaultParagraphFont"/>
    <w:rsid w:val="00D500E7"/>
  </w:style>
  <w:style w:type="paragraph" w:styleId="Quote">
    <w:name w:val="Quote"/>
    <w:basedOn w:val="Heading1"/>
    <w:link w:val="QuoteChar"/>
    <w:qFormat/>
    <w:rsid w:val="00D500E7"/>
    <w:rPr>
      <w:b w:val="0"/>
      <w:sz w:val="72"/>
      <w:szCs w:val="72"/>
      <w:lang w:val="en-NZ"/>
    </w:rPr>
  </w:style>
  <w:style w:type="character" w:customStyle="1" w:styleId="QuoteChar">
    <w:name w:val="Quote Char"/>
    <w:basedOn w:val="DefaultParagraphFont"/>
    <w:link w:val="Quote"/>
    <w:rsid w:val="00D500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00E7"/>
    <w:pPr>
      <w:pageBreakBefore/>
    </w:pPr>
  </w:style>
  <w:style w:type="paragraph" w:customStyle="1" w:styleId="Border">
    <w:name w:val="Border"/>
    <w:basedOn w:val="Normal"/>
    <w:qFormat/>
    <w:rsid w:val="00D500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00E7"/>
    <w:rPr>
      <w:b/>
      <w:bCs/>
      <w:i/>
      <w:iCs/>
      <w:color w:val="auto"/>
    </w:rPr>
  </w:style>
  <w:style w:type="paragraph" w:styleId="IntenseQuote">
    <w:name w:val="Intense Quote"/>
    <w:basedOn w:val="Normal"/>
    <w:next w:val="Normal"/>
    <w:link w:val="IntenseQuoteChar"/>
    <w:uiPriority w:val="30"/>
    <w:qFormat/>
    <w:rsid w:val="00D500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00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00E7"/>
    <w:rPr>
      <w:smallCaps/>
      <w:color w:val="auto"/>
      <w:u w:val="single"/>
    </w:rPr>
  </w:style>
  <w:style w:type="character" w:styleId="IntenseReference">
    <w:name w:val="Intense Reference"/>
    <w:basedOn w:val="DefaultParagraphFont"/>
    <w:uiPriority w:val="32"/>
    <w:qFormat/>
    <w:rsid w:val="00D500E7"/>
    <w:rPr>
      <w:b/>
      <w:bCs/>
      <w:smallCaps/>
      <w:color w:val="auto"/>
      <w:spacing w:val="5"/>
      <w:u w:val="single"/>
    </w:rPr>
  </w:style>
  <w:style w:type="paragraph" w:customStyle="1" w:styleId="2ColumnHeading">
    <w:name w:val="2Column Heading"/>
    <w:basedOn w:val="BodyText"/>
    <w:qFormat/>
    <w:rsid w:val="00D500E7"/>
    <w:pPr>
      <w:spacing w:after="60"/>
      <w:ind w:left="-2268"/>
    </w:pPr>
    <w:rPr>
      <w:b/>
    </w:rPr>
  </w:style>
  <w:style w:type="paragraph" w:customStyle="1" w:styleId="Heading1TOC">
    <w:name w:val="Heading1 TOC"/>
    <w:basedOn w:val="Normal"/>
    <w:qFormat/>
    <w:rsid w:val="00D500E7"/>
    <w:pPr>
      <w:spacing w:before="240" w:after="120"/>
    </w:pPr>
    <w:rPr>
      <w:rFonts w:ascii="Times New Roman" w:hAnsi="Times New Roman"/>
      <w:b/>
      <w:sz w:val="32"/>
    </w:rPr>
  </w:style>
  <w:style w:type="paragraph" w:customStyle="1" w:styleId="Heading2TOC">
    <w:name w:val="Heading2 TOC"/>
    <w:basedOn w:val="Normal"/>
    <w:qFormat/>
    <w:rsid w:val="00D500E7"/>
    <w:pPr>
      <w:spacing w:before="240" w:after="60"/>
    </w:pPr>
    <w:rPr>
      <w:rFonts w:ascii="Times New Roman" w:hAnsi="Times New Roman"/>
      <w:b/>
      <w:sz w:val="28"/>
    </w:rPr>
  </w:style>
  <w:style w:type="character" w:customStyle="1" w:styleId="Underline">
    <w:name w:val="Underline"/>
    <w:basedOn w:val="DefaultParagraphFont"/>
    <w:qFormat/>
    <w:rsid w:val="00D500E7"/>
    <w:rPr>
      <w:u w:val="single"/>
    </w:rPr>
  </w:style>
  <w:style w:type="character" w:customStyle="1" w:styleId="BoldandItalics">
    <w:name w:val="Bold and Italics"/>
    <w:qFormat/>
    <w:rsid w:val="00D500E7"/>
    <w:rPr>
      <w:b/>
      <w:i/>
      <w:u w:val="none"/>
    </w:rPr>
  </w:style>
  <w:style w:type="paragraph" w:styleId="BalloonText">
    <w:name w:val="Balloon Text"/>
    <w:basedOn w:val="Normal"/>
    <w:link w:val="BalloonTextChar"/>
    <w:rsid w:val="00D500E7"/>
    <w:rPr>
      <w:rFonts w:ascii="Tahoma" w:hAnsi="Tahoma" w:cs="Tahoma"/>
      <w:sz w:val="16"/>
      <w:szCs w:val="16"/>
    </w:rPr>
  </w:style>
  <w:style w:type="character" w:customStyle="1" w:styleId="BalloonTextChar">
    <w:name w:val="Balloon Text Char"/>
    <w:basedOn w:val="DefaultParagraphFont"/>
    <w:link w:val="BalloonText"/>
    <w:rsid w:val="00D500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00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00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00E7"/>
    <w:rPr>
      <w:b/>
      <w:color w:val="660033"/>
      <w:spacing w:val="0"/>
    </w:rPr>
  </w:style>
  <w:style w:type="paragraph" w:customStyle="1" w:styleId="Nameditemlist">
    <w:name w:val="Named item list"/>
    <w:basedOn w:val="BodyText"/>
    <w:qFormat/>
    <w:rsid w:val="00D500E7"/>
    <w:pPr>
      <w:tabs>
        <w:tab w:val="left" w:pos="2835"/>
      </w:tabs>
      <w:ind w:left="2835" w:hanging="2835"/>
    </w:pPr>
  </w:style>
  <w:style w:type="paragraph" w:customStyle="1" w:styleId="BodyTextnopadding">
    <w:name w:val="Body Text no padding"/>
    <w:basedOn w:val="BodyText"/>
    <w:qFormat/>
    <w:rsid w:val="00D500E7"/>
    <w:pPr>
      <w:spacing w:before="0" w:after="0"/>
    </w:pPr>
  </w:style>
  <w:style w:type="paragraph" w:customStyle="1" w:styleId="BodyTextBold">
    <w:name w:val="Body Text Bold"/>
    <w:basedOn w:val="BodyText"/>
    <w:qFormat/>
    <w:rsid w:val="00D500E7"/>
    <w:rPr>
      <w:b/>
    </w:rPr>
  </w:style>
  <w:style w:type="character" w:styleId="Hyperlink">
    <w:name w:val="Hyperlink"/>
    <w:basedOn w:val="DefaultParagraphFont"/>
    <w:uiPriority w:val="99"/>
    <w:unhideWhenUsed/>
    <w:rsid w:val="00A241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678</Words>
  <Characters>4596</Characters>
  <Application>Microsoft Office Word</Application>
  <DocSecurity>0</DocSecurity>
  <Lines>229</Lines>
  <Paragraphs>135</Paragraphs>
  <ScaleCrop>false</ScaleCrop>
  <Company>Author-it Software Corporation Ltd.</Company>
  <LinksUpToDate>false</LinksUpToDate>
  <CharactersWithSpaces>5139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MEM18088 Maintain and repair commercial air conditioning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2023-02-03T07:16:00Z</dcterms:created>
  <dcterms:modified xsi:type="dcterms:W3CDTF">2023-02-03T07:16:00Z</dcterms:modified>
</cp:coreProperties>
</file>