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30C0" w:rsidP="000730C0">
      <w:pPr>
        <w:pStyle w:val="Title"/>
      </w:pPr>
      <w:r>
        <w:fldChar w:fldCharType="begin"/>
      </w:r>
      <w:r>
        <w:instrText xml:space="preserve"> TITLE   \* MERGEFORMAT </w:instrText>
      </w:r>
      <w:r>
        <w:fldChar w:fldCharType="separate"/>
      </w:r>
      <w:r>
        <w:t>MEM18087 Service and repair domestic and light commercial refrigeration and air conditioning equipment</w:t>
      </w:r>
      <w:r>
        <w:fldChar w:fldCharType="end"/>
      </w:r>
    </w:p>
    <w:p w:rsidR="000730C0" w:rsidP="000730C0">
      <w:pPr>
        <w:pStyle w:val="Version"/>
        <w:sectPr w:rsidSect="00B064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643B" w:rsidP="00B0643B">
      <w:pPr>
        <w:pStyle w:val="SuperHeading"/>
      </w:pPr>
      <w:r w:rsidRPr="00B0643B">
        <w:t>MEM18087 Serv</w:t>
      </w:r>
      <w:r w:rsidRPr="00B0643B">
        <w:t>ice and repair domestic and light commercial refrigeration and air conditioning equipment</w:t>
      </w:r>
    </w:p>
    <w:p w:rsidR="00000000" w:rsidRPr="00B0643B" w:rsidP="00B0643B">
      <w:pPr>
        <w:pStyle w:val="Heading1"/>
      </w:pPr>
      <w:bookmarkStart w:id="1" w:name="O_941693"/>
      <w:bookmarkEnd w:id="1"/>
      <w:r w:rsidRPr="00B0643B">
        <w:t>Modification History</w:t>
      </w:r>
    </w:p>
    <w:p w:rsidR="00000000" w:rsidRPr="00B0643B" w:rsidP="000730C0">
      <w:pPr>
        <w:pStyle w:val="BodyText"/>
      </w:pPr>
      <w:r w:rsidRPr="00B0643B">
        <w:t>Release 1. Supersedes and is equivalent to MEM18087B Service and repair domestic and l</w:t>
      </w:r>
      <w:r w:rsidRPr="00B0643B">
        <w:t xml:space="preserve">ight commercial refrigeration and air conditioning equipment </w:t>
      </w:r>
    </w:p>
    <w:p w:rsidR="00000000" w:rsidRPr="00B0643B" w:rsidP="00B0643B">
      <w:pPr>
        <w:pStyle w:val="Heading1"/>
      </w:pPr>
      <w:bookmarkStart w:id="2" w:name="O_941701"/>
      <w:bookmarkEnd w:id="2"/>
      <w:r w:rsidRPr="00B0643B">
        <w:t>Application</w:t>
      </w:r>
    </w:p>
    <w:p w:rsidR="00000000" w:rsidRPr="00B0643B" w:rsidP="000730C0">
      <w:pPr>
        <w:pStyle w:val="BodyText"/>
      </w:pPr>
      <w:r w:rsidRPr="00B0643B">
        <w:t>This unit of competency defines the skills and knowledge required to service domestic and light commercial refrigeration and air conditioning equipment and component</w:t>
      </w:r>
      <w:r w:rsidRPr="00B0643B">
        <w:t>s.</w:t>
      </w:r>
    </w:p>
    <w:p w:rsidR="00000000" w:rsidRPr="00B0643B" w:rsidP="000730C0">
      <w:pPr>
        <w:pStyle w:val="BodyText"/>
      </w:pPr>
      <w:r w:rsidRPr="00B0643B">
        <w:t>It applies to retrofitting existing domestic and light commercial refrigeration and air conditioning equipment with alternative refrigerants; reconditioning components; returning to service; testing equipment; and completing service reports for adminis</w:t>
      </w:r>
      <w:r w:rsidRPr="00B0643B">
        <w:t>trative action.</w:t>
      </w:r>
    </w:p>
    <w:p w:rsidR="00000000" w:rsidRPr="00B0643B" w:rsidP="000730C0">
      <w:pPr>
        <w:pStyle w:val="BodyText"/>
      </w:pPr>
      <w:r w:rsidRPr="00B0643B">
        <w:t xml:space="preserve">A Refrigerant Handling Licence must be held by any person who carries out work in relation to refrigeration and air conditioning equipment. </w:t>
      </w:r>
    </w:p>
    <w:p w:rsidR="00000000" w:rsidRPr="00B0643B" w:rsidP="00B0643B">
      <w:pPr>
        <w:pStyle w:val="BodyText"/>
      </w:pPr>
      <w:r w:rsidRPr="00B0643B">
        <w:rPr>
          <w:rStyle w:val="SpecialBold"/>
        </w:rPr>
        <w:t>Band</w:t>
      </w:r>
      <w:r w:rsidRPr="00B0643B">
        <w:t>:</w:t>
      </w:r>
      <w:r w:rsidRPr="00B0643B">
        <w:tab/>
      </w:r>
      <w:r w:rsidRPr="00B0643B">
        <w:rPr>
          <w:rStyle w:val="SpecialBold"/>
        </w:rPr>
        <w:t>A</w:t>
      </w:r>
    </w:p>
    <w:p w:rsidR="00000000" w:rsidRPr="00B0643B" w:rsidP="00B0643B">
      <w:pPr>
        <w:pStyle w:val="BodyText"/>
      </w:pPr>
      <w:r w:rsidRPr="00B0643B">
        <w:rPr>
          <w:rStyle w:val="SpecialBold"/>
        </w:rPr>
        <w:t>Unit Weight</w:t>
      </w:r>
      <w:r w:rsidRPr="00B0643B">
        <w:t>:</w:t>
      </w:r>
      <w:r w:rsidRPr="00B0643B">
        <w:tab/>
      </w:r>
      <w:r w:rsidRPr="00B0643B">
        <w:rPr>
          <w:rStyle w:val="SpecialBold"/>
        </w:rPr>
        <w:t>6</w:t>
      </w:r>
    </w:p>
    <w:p w:rsidR="00000000" w:rsidRPr="00B0643B" w:rsidP="00B0643B">
      <w:pPr>
        <w:pStyle w:val="AllowPageBreak"/>
      </w:pPr>
    </w:p>
    <w:p w:rsidR="00000000" w:rsidRPr="00B0643B" w:rsidP="00B0643B">
      <w:pPr>
        <w:pStyle w:val="Heading1"/>
      </w:pPr>
      <w:bookmarkStart w:id="3" w:name="O_941700"/>
      <w:bookmarkEnd w:id="3"/>
      <w:r w:rsidRPr="00B0643B">
        <w:t>Pre-requisite Unit</w:t>
      </w:r>
    </w:p>
    <w:tbl>
      <w:tblPr>
        <w:tblW w:w="0" w:type="auto"/>
        <w:tblLayout w:type="fixed"/>
        <w:tblCellMar>
          <w:left w:w="62" w:type="dxa"/>
          <w:right w:w="62" w:type="dxa"/>
        </w:tblCellMar>
        <w:tblLook w:val="0000"/>
      </w:tblPr>
      <w:tblGrid>
        <w:gridCol w:w="2204"/>
        <w:gridCol w:w="6360"/>
      </w:tblGrid>
      <w:tr w:rsidTr="00B0643B">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B0643B">
            <w:pPr>
              <w:pStyle w:val="BodyText"/>
              <w:rPr>
                <w:lang w:val="en-NZ"/>
              </w:rPr>
            </w:pPr>
            <w:r w:rsidRPr="00B0643B">
              <w:t>MEM05006</w:t>
            </w:r>
          </w:p>
        </w:tc>
        <w:tc>
          <w:tcPr>
            <w:tcW w:w="6360" w:type="dxa"/>
            <w:tcBorders>
              <w:top w:val="nil"/>
              <w:left w:val="nil"/>
              <w:bottom w:val="nil"/>
              <w:right w:val="nil"/>
            </w:tcBorders>
            <w:tcMar>
              <w:top w:w="0" w:type="dxa"/>
              <w:left w:w="62" w:type="dxa"/>
              <w:bottom w:w="0" w:type="dxa"/>
              <w:right w:w="62" w:type="dxa"/>
            </w:tcMar>
          </w:tcPr>
          <w:p w:rsidR="00000000" w:rsidP="00B0643B">
            <w:pPr>
              <w:pStyle w:val="BodyText"/>
              <w:rPr>
                <w:lang w:val="en-NZ"/>
              </w:rPr>
            </w:pPr>
            <w:r w:rsidRPr="00B0643B">
              <w:t>Perform brazing and/or silver</w:t>
            </w:r>
            <w:r w:rsidRPr="00B0643B">
              <w:t xml:space="preserve"> soldering</w:t>
            </w:r>
          </w:p>
        </w:tc>
      </w:tr>
      <w:tr w:rsidTr="00B0643B">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B0643B">
            <w:pPr>
              <w:pStyle w:val="BodyText"/>
              <w:rPr>
                <w:lang w:val="en-NZ"/>
              </w:rPr>
            </w:pPr>
            <w:r w:rsidRPr="00B0643B">
              <w:t>MEM09002</w:t>
            </w:r>
          </w:p>
        </w:tc>
        <w:tc>
          <w:tcPr>
            <w:tcW w:w="6360" w:type="dxa"/>
            <w:tcBorders>
              <w:top w:val="nil"/>
              <w:left w:val="nil"/>
              <w:bottom w:val="nil"/>
              <w:right w:val="nil"/>
            </w:tcBorders>
            <w:tcMar>
              <w:top w:w="0" w:type="dxa"/>
              <w:left w:w="62" w:type="dxa"/>
              <w:bottom w:w="0" w:type="dxa"/>
              <w:right w:w="62" w:type="dxa"/>
            </w:tcMar>
          </w:tcPr>
          <w:p w:rsidR="00000000" w:rsidP="00B0643B">
            <w:pPr>
              <w:pStyle w:val="BodyText"/>
              <w:rPr>
                <w:lang w:val="en-NZ"/>
              </w:rPr>
            </w:pPr>
            <w:r w:rsidRPr="00B0643B">
              <w:t>Interpret technical drawing</w:t>
            </w:r>
          </w:p>
        </w:tc>
      </w:tr>
      <w:tr w:rsidTr="00B0643B">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B0643B">
            <w:pPr>
              <w:pStyle w:val="BodyText"/>
              <w:rPr>
                <w:lang w:val="en-NZ"/>
              </w:rPr>
            </w:pPr>
            <w:r w:rsidRPr="00B0643B">
              <w:t>MEM11011</w:t>
            </w:r>
          </w:p>
        </w:tc>
        <w:tc>
          <w:tcPr>
            <w:tcW w:w="6360" w:type="dxa"/>
            <w:tcBorders>
              <w:top w:val="nil"/>
              <w:left w:val="nil"/>
              <w:bottom w:val="nil"/>
              <w:right w:val="nil"/>
            </w:tcBorders>
            <w:tcMar>
              <w:top w:w="0" w:type="dxa"/>
              <w:left w:w="62" w:type="dxa"/>
              <w:bottom w:w="0" w:type="dxa"/>
              <w:right w:w="62" w:type="dxa"/>
            </w:tcMar>
          </w:tcPr>
          <w:p w:rsidR="00000000" w:rsidP="00B0643B">
            <w:pPr>
              <w:pStyle w:val="BodyText"/>
              <w:rPr>
                <w:lang w:val="en-NZ"/>
              </w:rPr>
            </w:pPr>
            <w:r w:rsidRPr="00B0643B">
              <w:t>Undertake manual handling</w:t>
            </w:r>
          </w:p>
        </w:tc>
      </w:tr>
      <w:tr w:rsidTr="00B0643B">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B0643B">
            <w:pPr>
              <w:pStyle w:val="BodyText"/>
              <w:rPr>
                <w:lang w:val="en-NZ"/>
              </w:rPr>
            </w:pPr>
            <w:r w:rsidRPr="00B0643B">
              <w:t>MEM12002</w:t>
            </w:r>
          </w:p>
        </w:tc>
        <w:tc>
          <w:tcPr>
            <w:tcW w:w="6360" w:type="dxa"/>
            <w:tcBorders>
              <w:top w:val="nil"/>
              <w:left w:val="nil"/>
              <w:bottom w:val="nil"/>
              <w:right w:val="nil"/>
            </w:tcBorders>
            <w:tcMar>
              <w:top w:w="0" w:type="dxa"/>
              <w:left w:w="62" w:type="dxa"/>
              <w:bottom w:w="0" w:type="dxa"/>
              <w:right w:w="62" w:type="dxa"/>
            </w:tcMar>
          </w:tcPr>
          <w:p w:rsidR="00000000" w:rsidP="00B0643B">
            <w:pPr>
              <w:pStyle w:val="BodyText"/>
              <w:rPr>
                <w:lang w:val="en-NZ"/>
              </w:rPr>
            </w:pPr>
            <w:r w:rsidRPr="00B0643B">
              <w:t>Perform electrical/electronic measurement</w:t>
            </w:r>
          </w:p>
        </w:tc>
      </w:tr>
      <w:tr w:rsidTr="00B0643B">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B0643B">
            <w:pPr>
              <w:pStyle w:val="BodyText"/>
              <w:rPr>
                <w:lang w:val="en-NZ"/>
              </w:rPr>
            </w:pPr>
            <w:r w:rsidRPr="00B0643B">
              <w:t>MEM12023</w:t>
            </w:r>
          </w:p>
        </w:tc>
        <w:tc>
          <w:tcPr>
            <w:tcW w:w="6360" w:type="dxa"/>
            <w:tcBorders>
              <w:top w:val="nil"/>
              <w:left w:val="nil"/>
              <w:bottom w:val="nil"/>
              <w:right w:val="nil"/>
            </w:tcBorders>
            <w:tcMar>
              <w:top w:w="0" w:type="dxa"/>
              <w:left w:w="62" w:type="dxa"/>
              <w:bottom w:w="0" w:type="dxa"/>
              <w:right w:w="62" w:type="dxa"/>
            </w:tcMar>
          </w:tcPr>
          <w:p w:rsidR="00000000" w:rsidP="00B0643B">
            <w:pPr>
              <w:pStyle w:val="BodyText"/>
              <w:rPr>
                <w:lang w:val="en-NZ"/>
              </w:rPr>
            </w:pPr>
            <w:r w:rsidRPr="00B0643B">
              <w:t>Perform engineering measurements</w:t>
            </w:r>
          </w:p>
        </w:tc>
      </w:tr>
      <w:tr w:rsidTr="00B0643B">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B0643B">
            <w:pPr>
              <w:pStyle w:val="BodyText"/>
              <w:rPr>
                <w:lang w:val="en-NZ"/>
              </w:rPr>
            </w:pPr>
            <w:r w:rsidRPr="00B0643B">
              <w:t>MEM13015</w:t>
            </w:r>
          </w:p>
        </w:tc>
        <w:tc>
          <w:tcPr>
            <w:tcW w:w="6360" w:type="dxa"/>
            <w:tcBorders>
              <w:top w:val="nil"/>
              <w:left w:val="nil"/>
              <w:bottom w:val="nil"/>
              <w:right w:val="nil"/>
            </w:tcBorders>
            <w:tcMar>
              <w:top w:w="0" w:type="dxa"/>
              <w:left w:w="62" w:type="dxa"/>
              <w:bottom w:w="0" w:type="dxa"/>
              <w:right w:w="62" w:type="dxa"/>
            </w:tcMar>
          </w:tcPr>
          <w:p w:rsidR="00000000" w:rsidP="00B0643B">
            <w:pPr>
              <w:pStyle w:val="BodyText"/>
              <w:rPr>
                <w:lang w:val="en-NZ"/>
              </w:rPr>
            </w:pPr>
            <w:r w:rsidRPr="00B0643B">
              <w:t>Work safely and effectively in manufacturing and engineering</w:t>
            </w:r>
          </w:p>
        </w:tc>
      </w:tr>
      <w:tr w:rsidTr="00B0643B">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B0643B">
            <w:pPr>
              <w:pStyle w:val="BodyText"/>
              <w:rPr>
                <w:lang w:val="en-NZ"/>
              </w:rPr>
            </w:pPr>
            <w:r w:rsidRPr="00B0643B">
              <w:t>MEM16006</w:t>
            </w:r>
          </w:p>
        </w:tc>
        <w:tc>
          <w:tcPr>
            <w:tcW w:w="6360" w:type="dxa"/>
            <w:tcBorders>
              <w:top w:val="nil"/>
              <w:left w:val="nil"/>
              <w:bottom w:val="nil"/>
              <w:right w:val="nil"/>
            </w:tcBorders>
            <w:tcMar>
              <w:top w:w="0" w:type="dxa"/>
              <w:left w:w="62" w:type="dxa"/>
              <w:bottom w:w="0" w:type="dxa"/>
              <w:right w:w="62" w:type="dxa"/>
            </w:tcMar>
          </w:tcPr>
          <w:p w:rsidR="00000000" w:rsidP="00B0643B">
            <w:pPr>
              <w:pStyle w:val="BodyText"/>
              <w:rPr>
                <w:lang w:val="en-NZ"/>
              </w:rPr>
            </w:pPr>
            <w:r w:rsidRPr="00B0643B">
              <w:t>Organise and communicate information</w:t>
            </w:r>
          </w:p>
        </w:tc>
      </w:tr>
      <w:tr w:rsidTr="00B0643B">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B0643B">
            <w:pPr>
              <w:pStyle w:val="BodyText"/>
              <w:rPr>
                <w:lang w:val="en-NZ"/>
              </w:rPr>
            </w:pPr>
            <w:r w:rsidRPr="00B0643B">
              <w:t>MEM18001</w:t>
            </w:r>
          </w:p>
        </w:tc>
        <w:tc>
          <w:tcPr>
            <w:tcW w:w="6360" w:type="dxa"/>
            <w:tcBorders>
              <w:top w:val="nil"/>
              <w:left w:val="nil"/>
              <w:bottom w:val="nil"/>
              <w:right w:val="nil"/>
            </w:tcBorders>
            <w:tcMar>
              <w:top w:w="0" w:type="dxa"/>
              <w:left w:w="62" w:type="dxa"/>
              <w:bottom w:w="0" w:type="dxa"/>
              <w:right w:w="62" w:type="dxa"/>
            </w:tcMar>
          </w:tcPr>
          <w:p w:rsidR="00000000" w:rsidP="00B0643B">
            <w:pPr>
              <w:pStyle w:val="BodyText"/>
              <w:rPr>
                <w:lang w:val="en-NZ"/>
              </w:rPr>
            </w:pPr>
            <w:r w:rsidRPr="00B0643B">
              <w:t>Use hand tools</w:t>
            </w:r>
          </w:p>
        </w:tc>
      </w:tr>
      <w:tr w:rsidTr="00B0643B">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B0643B">
            <w:pPr>
              <w:pStyle w:val="BodyText"/>
              <w:rPr>
                <w:lang w:val="en-NZ"/>
              </w:rPr>
            </w:pPr>
            <w:r w:rsidRPr="00B0643B">
              <w:t>MEM18002</w:t>
            </w:r>
          </w:p>
        </w:tc>
        <w:tc>
          <w:tcPr>
            <w:tcW w:w="6360" w:type="dxa"/>
            <w:tcBorders>
              <w:top w:val="nil"/>
              <w:left w:val="nil"/>
              <w:bottom w:val="nil"/>
              <w:right w:val="nil"/>
            </w:tcBorders>
            <w:tcMar>
              <w:top w:w="0" w:type="dxa"/>
              <w:left w:w="62" w:type="dxa"/>
              <w:bottom w:w="0" w:type="dxa"/>
              <w:right w:w="62" w:type="dxa"/>
            </w:tcMar>
          </w:tcPr>
          <w:p w:rsidR="00000000" w:rsidP="00B0643B">
            <w:pPr>
              <w:pStyle w:val="BodyText"/>
              <w:rPr>
                <w:lang w:val="en-NZ"/>
              </w:rPr>
            </w:pPr>
            <w:r w:rsidRPr="00B0643B">
              <w:t>Use power tools/hand held operations</w:t>
            </w:r>
          </w:p>
        </w:tc>
      </w:tr>
      <w:tr w:rsidTr="00B0643B">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B0643B">
            <w:pPr>
              <w:pStyle w:val="BodyText"/>
              <w:rPr>
                <w:lang w:val="en-NZ"/>
              </w:rPr>
            </w:pPr>
            <w:r w:rsidRPr="00B0643B">
              <w:t>MEM18055</w:t>
            </w:r>
          </w:p>
        </w:tc>
        <w:tc>
          <w:tcPr>
            <w:tcW w:w="6360" w:type="dxa"/>
            <w:tcBorders>
              <w:top w:val="nil"/>
              <w:left w:val="nil"/>
              <w:bottom w:val="nil"/>
              <w:right w:val="nil"/>
            </w:tcBorders>
            <w:tcMar>
              <w:top w:w="0" w:type="dxa"/>
              <w:left w:w="62" w:type="dxa"/>
              <w:bottom w:w="0" w:type="dxa"/>
              <w:right w:w="62" w:type="dxa"/>
            </w:tcMar>
          </w:tcPr>
          <w:p w:rsidR="00000000" w:rsidP="00B0643B">
            <w:pPr>
              <w:pStyle w:val="BodyText"/>
              <w:rPr>
                <w:lang w:val="en-NZ"/>
              </w:rPr>
            </w:pPr>
            <w:r w:rsidRPr="00B0643B">
              <w:t>Dismantle, replace and assemble engineering components</w:t>
            </w:r>
          </w:p>
        </w:tc>
      </w:tr>
      <w:tr w:rsidTr="00B0643B">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B0643B">
            <w:pPr>
              <w:pStyle w:val="BodyText"/>
              <w:rPr>
                <w:lang w:val="en-NZ"/>
              </w:rPr>
            </w:pPr>
            <w:r w:rsidRPr="00B0643B">
              <w:t>MEM18086</w:t>
            </w:r>
          </w:p>
        </w:tc>
        <w:tc>
          <w:tcPr>
            <w:tcW w:w="6360" w:type="dxa"/>
            <w:tcBorders>
              <w:top w:val="nil"/>
              <w:left w:val="nil"/>
              <w:bottom w:val="nil"/>
              <w:right w:val="nil"/>
            </w:tcBorders>
            <w:tcMar>
              <w:top w:w="0" w:type="dxa"/>
              <w:left w:w="62" w:type="dxa"/>
              <w:bottom w:w="0" w:type="dxa"/>
              <w:right w:w="62" w:type="dxa"/>
            </w:tcMar>
          </w:tcPr>
          <w:p w:rsidR="00000000" w:rsidRPr="00B0643B" w:rsidP="00B0643B">
            <w:pPr>
              <w:pStyle w:val="BodyText"/>
            </w:pPr>
            <w:r w:rsidRPr="00B0643B">
              <w:t>Test, recover, evacuate and charge refrigeration systems</w:t>
            </w:r>
          </w:p>
        </w:tc>
      </w:tr>
    </w:tbl>
    <w:p w:rsidR="00000000" w:rsidRPr="00B0643B" w:rsidP="00B0643B">
      <w:pPr>
        <w:pStyle w:val="BodyText"/>
      </w:pPr>
    </w:p>
    <w:p w:rsidR="00000000" w:rsidRPr="00B0643B" w:rsidP="00B0643B">
      <w:pPr>
        <w:pStyle w:val="AllowPageBreak"/>
      </w:pPr>
    </w:p>
    <w:p w:rsidR="00000000" w:rsidRPr="00B0643B" w:rsidP="00B0643B">
      <w:pPr>
        <w:pStyle w:val="Heading1"/>
      </w:pPr>
      <w:bookmarkStart w:id="4" w:name="O_941699"/>
      <w:bookmarkEnd w:id="4"/>
      <w:r w:rsidRPr="00B0643B">
        <w:t>Competency Field</w:t>
      </w:r>
    </w:p>
    <w:p w:rsidR="00000000" w:rsidRPr="00B0643B" w:rsidP="000730C0">
      <w:pPr>
        <w:pStyle w:val="BodyText"/>
      </w:pPr>
      <w:r w:rsidRPr="00B0643B">
        <w:t>Maintenance and diagnostics</w:t>
      </w:r>
    </w:p>
    <w:p w:rsidR="00000000" w:rsidRPr="00B0643B" w:rsidP="00B0643B">
      <w:pPr>
        <w:pStyle w:val="Heading1"/>
      </w:pPr>
      <w:bookmarkStart w:id="5" w:name="O_941697"/>
      <w:bookmarkEnd w:id="5"/>
      <w:r w:rsidRPr="00B0643B">
        <w:t>Elements and Performance Criteria</w:t>
      </w:r>
    </w:p>
    <w:tbl>
      <w:tblPr>
        <w:tblW w:w="0" w:type="auto"/>
        <w:tblLayout w:type="fixed"/>
        <w:tblCellMar>
          <w:left w:w="62" w:type="dxa"/>
          <w:right w:w="62" w:type="dxa"/>
        </w:tblCellMar>
        <w:tblLook w:val="0000"/>
      </w:tblPr>
      <w:tblGrid>
        <w:gridCol w:w="683"/>
        <w:gridCol w:w="1974"/>
        <w:gridCol w:w="775"/>
        <w:gridCol w:w="5641"/>
      </w:tblGrid>
      <w:tr w:rsidTr="00B0643B">
        <w:tblPrEx>
          <w:tblW w:w="0" w:type="auto"/>
          <w:tblLayout w:type="fixed"/>
          <w:tblCellMar>
            <w:left w:w="62" w:type="dxa"/>
            <w:right w:w="62" w:type="dxa"/>
          </w:tblCellMar>
          <w:tblLook w:val="0000"/>
        </w:tblPrEx>
        <w:trPr>
          <w:tblHeader/>
        </w:trPr>
        <w:tc>
          <w:tcPr>
            <w:tcW w:w="2657" w:type="dxa"/>
            <w:gridSpan w:val="2"/>
            <w:tcBorders>
              <w:top w:val="nil"/>
              <w:left w:val="nil"/>
              <w:bottom w:val="nil"/>
              <w:right w:val="nil"/>
            </w:tcBorders>
            <w:tcMar>
              <w:top w:w="0" w:type="dxa"/>
              <w:left w:w="62" w:type="dxa"/>
              <w:bottom w:w="0" w:type="dxa"/>
              <w:right w:w="62" w:type="dxa"/>
            </w:tcMar>
          </w:tcPr>
          <w:p w:rsidR="00000000" w:rsidP="00B0643B">
            <w:pPr>
              <w:pStyle w:val="BodyText"/>
              <w:rPr>
                <w:lang w:val="en-NZ"/>
              </w:rPr>
            </w:pPr>
            <w:r w:rsidRPr="00B0643B">
              <w:t>Elements describe the 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B0643B">
            <w:pPr>
              <w:pStyle w:val="BodyText"/>
              <w:rPr>
                <w:lang w:val="en-NZ"/>
              </w:rPr>
            </w:pPr>
            <w:r w:rsidRPr="00B0643B">
              <w:t>Performance criteria describe the performance needed to demonstrate achievement of the element.</w:t>
            </w:r>
          </w:p>
        </w:tc>
      </w:tr>
      <w:tr w:rsidTr="00B0643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B0643B" w:rsidP="00B0643B">
            <w:pPr>
              <w:pStyle w:val="BodyText"/>
            </w:pPr>
            <w:r w:rsidRPr="00B0643B">
              <w:t>1</w:t>
            </w:r>
          </w:p>
        </w:tc>
        <w:tc>
          <w:tcPr>
            <w:tcW w:w="1974" w:type="dxa"/>
            <w:vMerge w:val="restart"/>
            <w:tcBorders>
              <w:top w:val="nil"/>
              <w:left w:val="nil"/>
              <w:bottom w:val="nil"/>
              <w:right w:val="nil"/>
            </w:tcBorders>
            <w:tcMar>
              <w:top w:w="0" w:type="dxa"/>
              <w:left w:w="62" w:type="dxa"/>
              <w:bottom w:w="0" w:type="dxa"/>
              <w:right w:w="62" w:type="dxa"/>
            </w:tcMar>
          </w:tcPr>
          <w:p w:rsidR="00000000" w:rsidP="00B0643B">
            <w:pPr>
              <w:pStyle w:val="BodyText"/>
              <w:rPr>
                <w:lang w:val="en-NZ"/>
              </w:rPr>
            </w:pPr>
            <w:r w:rsidRPr="00B0643B">
              <w:rPr>
                <w:rStyle w:val="SpecialBold"/>
              </w:rPr>
              <w:t>Determine job requirements</w:t>
            </w:r>
          </w:p>
        </w:tc>
        <w:tc>
          <w:tcPr>
            <w:tcW w:w="775" w:type="dxa"/>
            <w:tcBorders>
              <w:top w:val="nil"/>
              <w:left w:val="nil"/>
              <w:bottom w:val="nil"/>
              <w:right w:val="nil"/>
            </w:tcBorders>
            <w:tcMar>
              <w:top w:w="0" w:type="dxa"/>
              <w:left w:w="62" w:type="dxa"/>
              <w:bottom w:w="0" w:type="dxa"/>
              <w:right w:w="62" w:type="dxa"/>
            </w:tcMar>
          </w:tcPr>
          <w:p w:rsidR="00000000" w:rsidP="00B0643B">
            <w:pPr>
              <w:pStyle w:val="BodyText"/>
              <w:rPr>
                <w:lang w:val="en-NZ"/>
              </w:rPr>
            </w:pPr>
            <w:r w:rsidRPr="00B0643B">
              <w:t>1.1</w:t>
            </w:r>
          </w:p>
        </w:tc>
        <w:tc>
          <w:tcPr>
            <w:tcW w:w="5641" w:type="dxa"/>
            <w:tcBorders>
              <w:top w:val="nil"/>
              <w:left w:val="nil"/>
              <w:bottom w:val="nil"/>
              <w:right w:val="nil"/>
            </w:tcBorders>
            <w:tcMar>
              <w:top w:w="0" w:type="dxa"/>
              <w:left w:w="62" w:type="dxa"/>
              <w:bottom w:w="0" w:type="dxa"/>
              <w:right w:w="62" w:type="dxa"/>
            </w:tcMar>
          </w:tcPr>
          <w:p w:rsidR="00000000" w:rsidP="00B0643B">
            <w:pPr>
              <w:pStyle w:val="BodyText"/>
              <w:rPr>
                <w:lang w:val="en-NZ"/>
              </w:rPr>
            </w:pPr>
            <w:r w:rsidRPr="00B0643B">
              <w:t>Follow standard operating procedures (SOPs)</w:t>
            </w:r>
          </w:p>
        </w:tc>
      </w:tr>
      <w:tr w:rsidTr="00B0643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B0643B">
            <w:pPr>
              <w:pStyle w:val="BodyText"/>
              <w:rPr>
                <w:lang w:val="en-NZ"/>
              </w:rPr>
            </w:pPr>
            <w:r w:rsidRPr="00B0643B">
              <w:t>1.2</w:t>
            </w:r>
          </w:p>
        </w:tc>
        <w:tc>
          <w:tcPr>
            <w:tcW w:w="5641" w:type="dxa"/>
            <w:tcBorders>
              <w:top w:val="nil"/>
              <w:left w:val="nil"/>
              <w:bottom w:val="nil"/>
              <w:right w:val="nil"/>
            </w:tcBorders>
            <w:tcMar>
              <w:top w:w="0" w:type="dxa"/>
              <w:left w:w="62" w:type="dxa"/>
              <w:bottom w:w="0" w:type="dxa"/>
              <w:right w:w="62" w:type="dxa"/>
            </w:tcMar>
          </w:tcPr>
          <w:p w:rsidR="00000000" w:rsidP="00B0643B">
            <w:pPr>
              <w:pStyle w:val="BodyText"/>
              <w:rPr>
                <w:lang w:val="en-NZ"/>
              </w:rPr>
            </w:pPr>
            <w:r w:rsidRPr="00B0643B">
              <w:t>Comply with work health and safety (WHS) requirements at all times</w:t>
            </w:r>
          </w:p>
        </w:tc>
      </w:tr>
      <w:tr w:rsidTr="00B0643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B0643B">
            <w:pPr>
              <w:pStyle w:val="BodyText"/>
              <w:rPr>
                <w:lang w:val="en-NZ"/>
              </w:rPr>
            </w:pPr>
            <w:r w:rsidRPr="00B0643B">
              <w:t>1.3</w:t>
            </w:r>
          </w:p>
        </w:tc>
        <w:tc>
          <w:tcPr>
            <w:tcW w:w="5641" w:type="dxa"/>
            <w:tcBorders>
              <w:top w:val="nil"/>
              <w:left w:val="nil"/>
              <w:bottom w:val="nil"/>
              <w:right w:val="nil"/>
            </w:tcBorders>
            <w:tcMar>
              <w:top w:w="0" w:type="dxa"/>
              <w:left w:w="62" w:type="dxa"/>
              <w:bottom w:w="0" w:type="dxa"/>
              <w:right w:w="62" w:type="dxa"/>
            </w:tcMar>
          </w:tcPr>
          <w:p w:rsidR="00000000" w:rsidP="00B0643B">
            <w:pPr>
              <w:pStyle w:val="BodyText"/>
              <w:rPr>
                <w:lang w:val="en-NZ"/>
              </w:rPr>
            </w:pPr>
            <w:r w:rsidRPr="00B0643B">
              <w:t>Use appropriate personal protective equipment (PPE) in accordance with SOPs</w:t>
            </w:r>
          </w:p>
        </w:tc>
      </w:tr>
      <w:tr w:rsidTr="00B0643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B0643B">
            <w:pPr>
              <w:pStyle w:val="BodyText"/>
              <w:rPr>
                <w:lang w:val="en-NZ"/>
              </w:rPr>
            </w:pPr>
            <w:r w:rsidRPr="00B0643B">
              <w:t>1.4</w:t>
            </w:r>
          </w:p>
        </w:tc>
        <w:tc>
          <w:tcPr>
            <w:tcW w:w="5641" w:type="dxa"/>
            <w:tcBorders>
              <w:top w:val="nil"/>
              <w:left w:val="nil"/>
              <w:bottom w:val="nil"/>
              <w:right w:val="nil"/>
            </w:tcBorders>
            <w:tcMar>
              <w:top w:w="0" w:type="dxa"/>
              <w:left w:w="62" w:type="dxa"/>
              <w:bottom w:w="0" w:type="dxa"/>
              <w:right w:w="62" w:type="dxa"/>
            </w:tcMar>
          </w:tcPr>
          <w:p w:rsidR="00000000" w:rsidP="00B0643B">
            <w:pPr>
              <w:pStyle w:val="BodyText"/>
              <w:rPr>
                <w:lang w:val="en-NZ"/>
              </w:rPr>
            </w:pPr>
            <w:r w:rsidRPr="00B0643B">
              <w:t>Identify job requirements from specifications, drawings, job sheets or work instructions</w:t>
            </w:r>
          </w:p>
        </w:tc>
      </w:tr>
      <w:tr w:rsidTr="00B0643B">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B0643B">
            <w:pPr>
              <w:pStyle w:val="BodyText"/>
              <w:rPr>
                <w:lang w:val="en-NZ"/>
              </w:rPr>
            </w:pPr>
          </w:p>
        </w:tc>
      </w:tr>
      <w:tr w:rsidTr="00B0643B">
        <w:tblPrEx>
          <w:tblW w:w="0" w:type="auto"/>
          <w:tblLayout w:type="fixed"/>
          <w:tblCellMar>
            <w:left w:w="62" w:type="dxa"/>
            <w:right w:w="62" w:type="dxa"/>
          </w:tblCellMar>
          <w:tblLook w:val="0000"/>
        </w:tblPrEx>
        <w:trPr>
          <w:trHeight w:val="433"/>
        </w:trPr>
        <w:tc>
          <w:tcPr>
            <w:tcW w:w="683" w:type="dxa"/>
            <w:tcBorders>
              <w:top w:val="nil"/>
              <w:left w:val="nil"/>
              <w:bottom w:val="nil"/>
              <w:right w:val="nil"/>
            </w:tcBorders>
            <w:tcMar>
              <w:top w:w="0" w:type="dxa"/>
              <w:left w:w="62" w:type="dxa"/>
              <w:bottom w:w="0" w:type="dxa"/>
              <w:right w:w="62" w:type="dxa"/>
            </w:tcMar>
          </w:tcPr>
          <w:p w:rsidR="00000000" w:rsidRPr="00B0643B" w:rsidP="00B0643B">
            <w:pPr>
              <w:pStyle w:val="BodyText"/>
            </w:pPr>
            <w:r w:rsidRPr="00B0643B">
              <w:t>2</w:t>
            </w:r>
          </w:p>
        </w:tc>
        <w:tc>
          <w:tcPr>
            <w:tcW w:w="1974" w:type="dxa"/>
            <w:vMerge w:val="restart"/>
            <w:tcBorders>
              <w:top w:val="nil"/>
              <w:left w:val="nil"/>
              <w:bottom w:val="nil"/>
              <w:right w:val="nil"/>
            </w:tcBorders>
            <w:tcMar>
              <w:top w:w="0" w:type="dxa"/>
              <w:left w:w="62" w:type="dxa"/>
              <w:bottom w:w="0" w:type="dxa"/>
              <w:right w:w="62" w:type="dxa"/>
            </w:tcMar>
          </w:tcPr>
          <w:p w:rsidR="00000000" w:rsidP="00B0643B">
            <w:pPr>
              <w:pStyle w:val="BodyText"/>
              <w:rPr>
                <w:lang w:val="en-NZ"/>
              </w:rPr>
            </w:pPr>
            <w:r w:rsidRPr="00B0643B">
              <w:rPr>
                <w:rStyle w:val="SpecialBold"/>
              </w:rPr>
              <w:t>Undertake preventive maintenance checks/ adjustments</w:t>
            </w:r>
          </w:p>
        </w:tc>
        <w:tc>
          <w:tcPr>
            <w:tcW w:w="775" w:type="dxa"/>
            <w:tcBorders>
              <w:top w:val="nil"/>
              <w:left w:val="nil"/>
              <w:bottom w:val="nil"/>
              <w:right w:val="nil"/>
            </w:tcBorders>
            <w:tcMar>
              <w:top w:w="0" w:type="dxa"/>
              <w:left w:w="62" w:type="dxa"/>
              <w:bottom w:w="0" w:type="dxa"/>
              <w:right w:w="62" w:type="dxa"/>
            </w:tcMar>
          </w:tcPr>
          <w:p w:rsidR="00000000" w:rsidP="00B0643B">
            <w:pPr>
              <w:pStyle w:val="BodyText"/>
              <w:rPr>
                <w:lang w:val="en-NZ"/>
              </w:rPr>
            </w:pPr>
            <w:r w:rsidRPr="00B0643B">
              <w:t>2.1</w:t>
            </w:r>
          </w:p>
        </w:tc>
        <w:tc>
          <w:tcPr>
            <w:tcW w:w="5641" w:type="dxa"/>
            <w:tcBorders>
              <w:top w:val="nil"/>
              <w:left w:val="nil"/>
              <w:bottom w:val="nil"/>
              <w:right w:val="nil"/>
            </w:tcBorders>
            <w:tcMar>
              <w:top w:w="0" w:type="dxa"/>
              <w:left w:w="62" w:type="dxa"/>
              <w:bottom w:w="0" w:type="dxa"/>
              <w:right w:w="62" w:type="dxa"/>
            </w:tcMar>
          </w:tcPr>
          <w:p w:rsidR="00000000" w:rsidP="00B0643B">
            <w:pPr>
              <w:pStyle w:val="BodyText"/>
              <w:rPr>
                <w:lang w:val="en-NZ"/>
              </w:rPr>
            </w:pPr>
            <w:r w:rsidRPr="00B0643B">
              <w:t>Carry out visual inspection and testing with appropriate test equipment according to refrigeration/air conditioning principles, procedures and safety requirements</w:t>
            </w:r>
          </w:p>
        </w:tc>
      </w:tr>
      <w:tr w:rsidTr="00B0643B">
        <w:tblPrEx>
          <w:tblW w:w="0" w:type="auto"/>
          <w:tblLayout w:type="fixed"/>
          <w:tblCellMar>
            <w:left w:w="62" w:type="dxa"/>
            <w:right w:w="62" w:type="dxa"/>
          </w:tblCellMar>
          <w:tblLook w:val="0000"/>
        </w:tblPrEx>
        <w:trPr>
          <w:trHeight w:val="433"/>
        </w:trPr>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B0643B">
            <w:pPr>
              <w:pStyle w:val="BodyText"/>
              <w:rPr>
                <w:lang w:val="en-NZ"/>
              </w:rPr>
            </w:pPr>
            <w:r w:rsidRPr="00B0643B">
              <w:t>2.2</w:t>
            </w:r>
          </w:p>
        </w:tc>
        <w:tc>
          <w:tcPr>
            <w:tcW w:w="5641" w:type="dxa"/>
            <w:tcBorders>
              <w:top w:val="nil"/>
              <w:left w:val="nil"/>
              <w:bottom w:val="nil"/>
              <w:right w:val="nil"/>
            </w:tcBorders>
            <w:tcMar>
              <w:top w:w="0" w:type="dxa"/>
              <w:left w:w="62" w:type="dxa"/>
              <w:bottom w:w="0" w:type="dxa"/>
              <w:right w:w="62" w:type="dxa"/>
            </w:tcMar>
          </w:tcPr>
          <w:p w:rsidR="00000000" w:rsidP="00B0643B">
            <w:pPr>
              <w:pStyle w:val="BodyText"/>
              <w:rPr>
                <w:lang w:val="en-NZ"/>
              </w:rPr>
            </w:pPr>
            <w:r w:rsidRPr="00B0643B">
              <w:t>Perform preventative maintenance tasks according to manufacturers</w:t>
            </w:r>
            <w:r>
              <w:t>’</w:t>
            </w:r>
            <w:r w:rsidRPr="00B0643B">
              <w:t xml:space="preserve"> specifications usin</w:t>
            </w:r>
            <w:r w:rsidRPr="00B0643B">
              <w:t>g refrigeration/air conditioning techniques/practices</w:t>
            </w:r>
          </w:p>
        </w:tc>
      </w:tr>
      <w:tr w:rsidTr="00B0643B">
        <w:tblPrEx>
          <w:tblW w:w="0" w:type="auto"/>
          <w:tblLayout w:type="fixed"/>
          <w:tblCellMar>
            <w:left w:w="62" w:type="dxa"/>
            <w:right w:w="62" w:type="dxa"/>
          </w:tblCellMar>
          <w:tblLook w:val="0000"/>
        </w:tblPrEx>
        <w:trPr>
          <w:trHeight w:val="433"/>
        </w:trPr>
        <w:tc>
          <w:tcPr>
            <w:tcW w:w="9073" w:type="dxa"/>
            <w:gridSpan w:val="4"/>
            <w:tcBorders>
              <w:top w:val="nil"/>
              <w:left w:val="nil"/>
              <w:bottom w:val="nil"/>
              <w:right w:val="nil"/>
            </w:tcBorders>
            <w:tcMar>
              <w:top w:w="0" w:type="dxa"/>
              <w:left w:w="62" w:type="dxa"/>
              <w:bottom w:w="0" w:type="dxa"/>
              <w:right w:w="62" w:type="dxa"/>
            </w:tcMar>
          </w:tcPr>
          <w:p w:rsidR="00000000" w:rsidP="00B0643B">
            <w:pPr>
              <w:pStyle w:val="BodyText"/>
              <w:rPr>
                <w:lang w:val="en-NZ"/>
              </w:rPr>
            </w:pPr>
          </w:p>
        </w:tc>
      </w:tr>
      <w:tr w:rsidTr="00B0643B">
        <w:tblPrEx>
          <w:tblW w:w="0" w:type="auto"/>
          <w:tblLayout w:type="fixed"/>
          <w:tblCellMar>
            <w:left w:w="62" w:type="dxa"/>
            <w:right w:w="62" w:type="dxa"/>
          </w:tblCellMar>
          <w:tblLook w:val="0000"/>
        </w:tblPrEx>
        <w:trPr>
          <w:trHeight w:val="433"/>
        </w:trPr>
        <w:tc>
          <w:tcPr>
            <w:tcW w:w="683" w:type="dxa"/>
            <w:tcBorders>
              <w:top w:val="nil"/>
              <w:left w:val="nil"/>
              <w:bottom w:val="nil"/>
              <w:right w:val="nil"/>
            </w:tcBorders>
            <w:tcMar>
              <w:top w:w="0" w:type="dxa"/>
              <w:left w:w="62" w:type="dxa"/>
              <w:bottom w:w="0" w:type="dxa"/>
              <w:right w:w="62" w:type="dxa"/>
            </w:tcMar>
          </w:tcPr>
          <w:p w:rsidR="00000000" w:rsidRPr="00B0643B" w:rsidP="00B0643B">
            <w:pPr>
              <w:pStyle w:val="BodyText"/>
            </w:pPr>
            <w:r w:rsidRPr="00B0643B">
              <w:t>3</w:t>
            </w:r>
          </w:p>
        </w:tc>
        <w:tc>
          <w:tcPr>
            <w:tcW w:w="1974" w:type="dxa"/>
            <w:vMerge w:val="restart"/>
            <w:tcBorders>
              <w:top w:val="nil"/>
              <w:left w:val="nil"/>
              <w:bottom w:val="nil"/>
              <w:right w:val="nil"/>
            </w:tcBorders>
            <w:tcMar>
              <w:top w:w="0" w:type="dxa"/>
              <w:left w:w="62" w:type="dxa"/>
              <w:bottom w:w="0" w:type="dxa"/>
              <w:right w:w="62" w:type="dxa"/>
            </w:tcMar>
          </w:tcPr>
          <w:p w:rsidR="00000000" w:rsidP="00B0643B">
            <w:pPr>
              <w:pStyle w:val="BodyText"/>
              <w:rPr>
                <w:lang w:val="en-NZ"/>
              </w:rPr>
            </w:pPr>
            <w:r w:rsidRPr="00B0643B">
              <w:rPr>
                <w:rStyle w:val="SpecialBold"/>
              </w:rPr>
              <w:t>Undertake fault-finding</w:t>
            </w:r>
          </w:p>
        </w:tc>
        <w:tc>
          <w:tcPr>
            <w:tcW w:w="775" w:type="dxa"/>
            <w:tcBorders>
              <w:top w:val="nil"/>
              <w:left w:val="nil"/>
              <w:bottom w:val="nil"/>
              <w:right w:val="nil"/>
            </w:tcBorders>
            <w:tcMar>
              <w:top w:w="0" w:type="dxa"/>
              <w:left w:w="62" w:type="dxa"/>
              <w:bottom w:w="0" w:type="dxa"/>
              <w:right w:w="62" w:type="dxa"/>
            </w:tcMar>
          </w:tcPr>
          <w:p w:rsidR="00000000" w:rsidP="00B0643B">
            <w:pPr>
              <w:pStyle w:val="BodyText"/>
              <w:rPr>
                <w:lang w:val="en-NZ"/>
              </w:rPr>
            </w:pPr>
            <w:r w:rsidRPr="00B0643B">
              <w:t>3.1</w:t>
            </w:r>
          </w:p>
        </w:tc>
        <w:tc>
          <w:tcPr>
            <w:tcW w:w="5641" w:type="dxa"/>
            <w:tcBorders>
              <w:top w:val="nil"/>
              <w:left w:val="nil"/>
              <w:bottom w:val="nil"/>
              <w:right w:val="nil"/>
            </w:tcBorders>
            <w:tcMar>
              <w:top w:w="0" w:type="dxa"/>
              <w:left w:w="62" w:type="dxa"/>
              <w:bottom w:w="0" w:type="dxa"/>
              <w:right w:w="62" w:type="dxa"/>
            </w:tcMar>
          </w:tcPr>
          <w:p w:rsidR="00000000" w:rsidP="00B0643B">
            <w:pPr>
              <w:pStyle w:val="BodyText"/>
              <w:rPr>
                <w:lang w:val="en-NZ"/>
              </w:rPr>
            </w:pPr>
            <w:r w:rsidRPr="00B0643B">
              <w:t>Identify equipment components</w:t>
            </w:r>
          </w:p>
        </w:tc>
      </w:tr>
      <w:tr w:rsidTr="00B0643B">
        <w:tblPrEx>
          <w:tblW w:w="0" w:type="auto"/>
          <w:tblLayout w:type="fixed"/>
          <w:tblCellMar>
            <w:left w:w="62" w:type="dxa"/>
            <w:right w:w="62" w:type="dxa"/>
          </w:tblCellMar>
          <w:tblLook w:val="0000"/>
        </w:tblPrEx>
        <w:trPr>
          <w:trHeight w:val="433"/>
        </w:trPr>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B0643B">
            <w:pPr>
              <w:pStyle w:val="BodyText"/>
              <w:rPr>
                <w:lang w:val="en-NZ"/>
              </w:rPr>
            </w:pPr>
            <w:r w:rsidRPr="00B0643B">
              <w:t>3.2</w:t>
            </w:r>
          </w:p>
        </w:tc>
        <w:tc>
          <w:tcPr>
            <w:tcW w:w="5641" w:type="dxa"/>
            <w:tcBorders>
              <w:top w:val="nil"/>
              <w:left w:val="nil"/>
              <w:bottom w:val="nil"/>
              <w:right w:val="nil"/>
            </w:tcBorders>
            <w:tcMar>
              <w:top w:w="0" w:type="dxa"/>
              <w:left w:w="62" w:type="dxa"/>
              <w:bottom w:w="0" w:type="dxa"/>
              <w:right w:w="62" w:type="dxa"/>
            </w:tcMar>
          </w:tcPr>
          <w:p w:rsidR="00000000" w:rsidP="00B0643B">
            <w:pPr>
              <w:pStyle w:val="BodyText"/>
              <w:rPr>
                <w:lang w:val="en-NZ"/>
              </w:rPr>
            </w:pPr>
            <w:r w:rsidRPr="00B0643B">
              <w:t>Interpret the characteristics and operation of each component</w:t>
            </w:r>
          </w:p>
        </w:tc>
      </w:tr>
      <w:tr w:rsidTr="00B0643B">
        <w:tblPrEx>
          <w:tblW w:w="0" w:type="auto"/>
          <w:tblLayout w:type="fixed"/>
          <w:tblCellMar>
            <w:left w:w="62" w:type="dxa"/>
            <w:right w:w="62" w:type="dxa"/>
          </w:tblCellMar>
          <w:tblLook w:val="0000"/>
        </w:tblPrEx>
        <w:trPr>
          <w:trHeight w:val="433"/>
        </w:trPr>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B0643B">
            <w:pPr>
              <w:pStyle w:val="BodyText"/>
              <w:rPr>
                <w:lang w:val="en-NZ"/>
              </w:rPr>
            </w:pPr>
            <w:r w:rsidRPr="00B0643B">
              <w:t>3.3</w:t>
            </w:r>
          </w:p>
        </w:tc>
        <w:tc>
          <w:tcPr>
            <w:tcW w:w="5641" w:type="dxa"/>
            <w:tcBorders>
              <w:top w:val="nil"/>
              <w:left w:val="nil"/>
              <w:bottom w:val="nil"/>
              <w:right w:val="nil"/>
            </w:tcBorders>
            <w:tcMar>
              <w:top w:w="0" w:type="dxa"/>
              <w:left w:w="62" w:type="dxa"/>
              <w:bottom w:w="0" w:type="dxa"/>
              <w:right w:w="62" w:type="dxa"/>
            </w:tcMar>
          </w:tcPr>
          <w:p w:rsidR="00000000" w:rsidP="00B0643B">
            <w:pPr>
              <w:pStyle w:val="BodyText"/>
              <w:rPr>
                <w:lang w:val="en-NZ"/>
              </w:rPr>
            </w:pPr>
            <w:r w:rsidRPr="00B0643B">
              <w:t>Inspect and test the operational function of each component and assess correct operation against specification</w:t>
            </w:r>
          </w:p>
        </w:tc>
      </w:tr>
      <w:tr w:rsidTr="00B0643B">
        <w:tblPrEx>
          <w:tblW w:w="0" w:type="auto"/>
          <w:tblLayout w:type="fixed"/>
          <w:tblCellMar>
            <w:left w:w="62" w:type="dxa"/>
            <w:right w:w="62" w:type="dxa"/>
          </w:tblCellMar>
          <w:tblLook w:val="0000"/>
        </w:tblPrEx>
        <w:trPr>
          <w:trHeight w:val="433"/>
        </w:trPr>
        <w:tc>
          <w:tcPr>
            <w:tcW w:w="9073" w:type="dxa"/>
            <w:gridSpan w:val="4"/>
            <w:tcBorders>
              <w:top w:val="nil"/>
              <w:left w:val="nil"/>
              <w:bottom w:val="nil"/>
              <w:right w:val="nil"/>
            </w:tcBorders>
            <w:tcMar>
              <w:top w:w="0" w:type="dxa"/>
              <w:left w:w="62" w:type="dxa"/>
              <w:bottom w:w="0" w:type="dxa"/>
              <w:right w:w="62" w:type="dxa"/>
            </w:tcMar>
          </w:tcPr>
          <w:p w:rsidR="00000000" w:rsidP="00B0643B">
            <w:pPr>
              <w:pStyle w:val="BodyText"/>
              <w:rPr>
                <w:lang w:val="en-NZ"/>
              </w:rPr>
            </w:pPr>
          </w:p>
        </w:tc>
      </w:tr>
      <w:tr w:rsidTr="00B0643B">
        <w:tblPrEx>
          <w:tblW w:w="0" w:type="auto"/>
          <w:tblLayout w:type="fixed"/>
          <w:tblCellMar>
            <w:left w:w="62" w:type="dxa"/>
            <w:right w:w="62" w:type="dxa"/>
          </w:tblCellMar>
          <w:tblLook w:val="0000"/>
        </w:tblPrEx>
        <w:trPr>
          <w:trHeight w:val="433"/>
        </w:trPr>
        <w:tc>
          <w:tcPr>
            <w:tcW w:w="683" w:type="dxa"/>
            <w:tcBorders>
              <w:top w:val="nil"/>
              <w:left w:val="nil"/>
              <w:bottom w:val="nil"/>
              <w:right w:val="nil"/>
            </w:tcBorders>
            <w:tcMar>
              <w:top w:w="0" w:type="dxa"/>
              <w:left w:w="62" w:type="dxa"/>
              <w:bottom w:w="0" w:type="dxa"/>
              <w:right w:w="62" w:type="dxa"/>
            </w:tcMar>
          </w:tcPr>
          <w:p w:rsidR="00000000" w:rsidRPr="00B0643B" w:rsidP="00B0643B">
            <w:pPr>
              <w:pStyle w:val="BodyText"/>
            </w:pPr>
            <w:r w:rsidRPr="00B0643B">
              <w:t>4</w:t>
            </w:r>
          </w:p>
        </w:tc>
        <w:tc>
          <w:tcPr>
            <w:tcW w:w="1974" w:type="dxa"/>
            <w:vMerge w:val="restart"/>
            <w:tcBorders>
              <w:top w:val="nil"/>
              <w:left w:val="nil"/>
              <w:bottom w:val="nil"/>
              <w:right w:val="nil"/>
            </w:tcBorders>
            <w:tcMar>
              <w:top w:w="0" w:type="dxa"/>
              <w:left w:w="62" w:type="dxa"/>
              <w:bottom w:w="0" w:type="dxa"/>
              <w:right w:w="62" w:type="dxa"/>
            </w:tcMar>
          </w:tcPr>
          <w:p w:rsidR="00000000" w:rsidP="00B0643B">
            <w:pPr>
              <w:pStyle w:val="BodyText"/>
              <w:rPr>
                <w:lang w:val="en-NZ"/>
              </w:rPr>
            </w:pPr>
            <w:r w:rsidRPr="00B0643B">
              <w:rPr>
                <w:rStyle w:val="SpecialBold"/>
              </w:rPr>
              <w:t>Repair/replace faulty components</w:t>
            </w:r>
          </w:p>
        </w:tc>
        <w:tc>
          <w:tcPr>
            <w:tcW w:w="775" w:type="dxa"/>
            <w:tcBorders>
              <w:top w:val="nil"/>
              <w:left w:val="nil"/>
              <w:bottom w:val="nil"/>
              <w:right w:val="nil"/>
            </w:tcBorders>
            <w:tcMar>
              <w:top w:w="0" w:type="dxa"/>
              <w:left w:w="62" w:type="dxa"/>
              <w:bottom w:w="0" w:type="dxa"/>
              <w:right w:w="62" w:type="dxa"/>
            </w:tcMar>
          </w:tcPr>
          <w:p w:rsidR="00000000" w:rsidP="00B0643B">
            <w:pPr>
              <w:pStyle w:val="BodyText"/>
              <w:rPr>
                <w:lang w:val="en-NZ"/>
              </w:rPr>
            </w:pPr>
            <w:r w:rsidRPr="00B0643B">
              <w:t>4.1</w:t>
            </w:r>
          </w:p>
        </w:tc>
        <w:tc>
          <w:tcPr>
            <w:tcW w:w="5641" w:type="dxa"/>
            <w:tcBorders>
              <w:top w:val="nil"/>
              <w:left w:val="nil"/>
              <w:bottom w:val="nil"/>
              <w:right w:val="nil"/>
            </w:tcBorders>
            <w:tcMar>
              <w:top w:w="0" w:type="dxa"/>
              <w:left w:w="62" w:type="dxa"/>
              <w:bottom w:w="0" w:type="dxa"/>
              <w:right w:w="62" w:type="dxa"/>
            </w:tcMar>
          </w:tcPr>
          <w:p w:rsidR="00000000" w:rsidP="00B0643B">
            <w:pPr>
              <w:pStyle w:val="BodyText"/>
              <w:rPr>
                <w:lang w:val="en-NZ"/>
              </w:rPr>
            </w:pPr>
            <w:r w:rsidRPr="00B0643B">
              <w:t xml:space="preserve">Localise faulty components and confirm malfunction </w:t>
            </w:r>
          </w:p>
        </w:tc>
      </w:tr>
      <w:tr w:rsidTr="00B0643B">
        <w:tblPrEx>
          <w:tblW w:w="0" w:type="auto"/>
          <w:tblLayout w:type="fixed"/>
          <w:tblCellMar>
            <w:left w:w="62" w:type="dxa"/>
            <w:right w:w="62" w:type="dxa"/>
          </w:tblCellMar>
          <w:tblLook w:val="0000"/>
        </w:tblPrEx>
        <w:trPr>
          <w:trHeight w:val="433"/>
        </w:trPr>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B0643B">
            <w:pPr>
              <w:pStyle w:val="BodyText"/>
              <w:rPr>
                <w:lang w:val="en-NZ"/>
              </w:rPr>
            </w:pPr>
            <w:r w:rsidRPr="00B0643B">
              <w:t>4.2</w:t>
            </w:r>
          </w:p>
        </w:tc>
        <w:tc>
          <w:tcPr>
            <w:tcW w:w="5641" w:type="dxa"/>
            <w:tcBorders>
              <w:top w:val="nil"/>
              <w:left w:val="nil"/>
              <w:bottom w:val="nil"/>
              <w:right w:val="nil"/>
            </w:tcBorders>
            <w:tcMar>
              <w:top w:w="0" w:type="dxa"/>
              <w:left w:w="62" w:type="dxa"/>
              <w:bottom w:w="0" w:type="dxa"/>
              <w:right w:w="62" w:type="dxa"/>
            </w:tcMar>
          </w:tcPr>
          <w:p w:rsidR="00000000" w:rsidP="00B0643B">
            <w:pPr>
              <w:pStyle w:val="BodyText"/>
              <w:rPr>
                <w:lang w:val="en-NZ"/>
              </w:rPr>
            </w:pPr>
            <w:r w:rsidRPr="00B0643B">
              <w:t>Remove the refrigerant from the system safely and contain in accordance with procedures and regulatory requirements, where appropriate</w:t>
            </w:r>
          </w:p>
        </w:tc>
      </w:tr>
      <w:tr w:rsidTr="00B0643B">
        <w:tblPrEx>
          <w:tblW w:w="0" w:type="auto"/>
          <w:tblLayout w:type="fixed"/>
          <w:tblCellMar>
            <w:left w:w="62" w:type="dxa"/>
            <w:right w:w="62" w:type="dxa"/>
          </w:tblCellMar>
          <w:tblLook w:val="0000"/>
        </w:tblPrEx>
        <w:trPr>
          <w:trHeight w:val="433"/>
        </w:trPr>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B0643B">
            <w:pPr>
              <w:pStyle w:val="BodyText"/>
              <w:rPr>
                <w:lang w:val="en-NZ"/>
              </w:rPr>
            </w:pPr>
            <w:r w:rsidRPr="00B0643B">
              <w:t>4.3</w:t>
            </w:r>
          </w:p>
        </w:tc>
        <w:tc>
          <w:tcPr>
            <w:tcW w:w="5641" w:type="dxa"/>
            <w:tcBorders>
              <w:top w:val="nil"/>
              <w:left w:val="nil"/>
              <w:bottom w:val="nil"/>
              <w:right w:val="nil"/>
            </w:tcBorders>
            <w:tcMar>
              <w:top w:w="0" w:type="dxa"/>
              <w:left w:w="62" w:type="dxa"/>
              <w:bottom w:w="0" w:type="dxa"/>
              <w:right w:w="62" w:type="dxa"/>
            </w:tcMar>
          </w:tcPr>
          <w:p w:rsidR="00000000" w:rsidP="00B0643B">
            <w:pPr>
              <w:pStyle w:val="BodyText"/>
              <w:rPr>
                <w:lang w:val="en-NZ"/>
              </w:rPr>
            </w:pPr>
            <w:r w:rsidRPr="00B0643B">
              <w:t>Dismantle faulty components and repair/replace to manufacturers</w:t>
            </w:r>
            <w:r>
              <w:t>’</w:t>
            </w:r>
            <w:r w:rsidRPr="00B0643B">
              <w:t xml:space="preserve"> specifications, as required</w:t>
            </w:r>
          </w:p>
        </w:tc>
      </w:tr>
      <w:tr w:rsidTr="00B0643B">
        <w:tblPrEx>
          <w:tblW w:w="0" w:type="auto"/>
          <w:tblLayout w:type="fixed"/>
          <w:tblCellMar>
            <w:left w:w="62" w:type="dxa"/>
            <w:right w:w="62" w:type="dxa"/>
          </w:tblCellMar>
          <w:tblLook w:val="0000"/>
        </w:tblPrEx>
        <w:trPr>
          <w:trHeight w:val="433"/>
        </w:trPr>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B0643B">
            <w:pPr>
              <w:pStyle w:val="BodyText"/>
              <w:rPr>
                <w:lang w:val="en-NZ"/>
              </w:rPr>
            </w:pPr>
            <w:r w:rsidRPr="00B0643B">
              <w:t>4.4</w:t>
            </w:r>
          </w:p>
        </w:tc>
        <w:tc>
          <w:tcPr>
            <w:tcW w:w="5641" w:type="dxa"/>
            <w:tcBorders>
              <w:top w:val="nil"/>
              <w:left w:val="nil"/>
              <w:bottom w:val="nil"/>
              <w:right w:val="nil"/>
            </w:tcBorders>
            <w:tcMar>
              <w:top w:w="0" w:type="dxa"/>
              <w:left w:w="62" w:type="dxa"/>
              <w:bottom w:w="0" w:type="dxa"/>
              <w:right w:w="62" w:type="dxa"/>
            </w:tcMar>
          </w:tcPr>
          <w:p w:rsidR="00000000" w:rsidP="00B0643B">
            <w:pPr>
              <w:pStyle w:val="BodyText"/>
              <w:rPr>
                <w:lang w:val="en-NZ"/>
              </w:rPr>
            </w:pPr>
            <w:r w:rsidRPr="00B0643B">
              <w:t>Select replace</w:t>
            </w:r>
            <w:r w:rsidRPr="00B0643B">
              <w:t>ment parts from manufacturers</w:t>
            </w:r>
            <w:r>
              <w:t>’</w:t>
            </w:r>
            <w:r w:rsidRPr="00B0643B">
              <w:t xml:space="preserve"> catalogues </w:t>
            </w:r>
          </w:p>
        </w:tc>
      </w:tr>
      <w:tr w:rsidTr="00B0643B">
        <w:tblPrEx>
          <w:tblW w:w="0" w:type="auto"/>
          <w:tblLayout w:type="fixed"/>
          <w:tblCellMar>
            <w:left w:w="62" w:type="dxa"/>
            <w:right w:w="62" w:type="dxa"/>
          </w:tblCellMar>
          <w:tblLook w:val="0000"/>
        </w:tblPrEx>
        <w:trPr>
          <w:trHeight w:val="433"/>
        </w:trPr>
        <w:tc>
          <w:tcPr>
            <w:tcW w:w="9073" w:type="dxa"/>
            <w:gridSpan w:val="4"/>
            <w:tcBorders>
              <w:top w:val="nil"/>
              <w:left w:val="nil"/>
              <w:bottom w:val="nil"/>
              <w:right w:val="nil"/>
            </w:tcBorders>
            <w:tcMar>
              <w:top w:w="0" w:type="dxa"/>
              <w:left w:w="62" w:type="dxa"/>
              <w:bottom w:w="0" w:type="dxa"/>
              <w:right w:w="62" w:type="dxa"/>
            </w:tcMar>
          </w:tcPr>
          <w:p w:rsidR="00000000" w:rsidP="00B0643B">
            <w:pPr>
              <w:pStyle w:val="BodyText"/>
              <w:rPr>
                <w:lang w:val="en-NZ"/>
              </w:rPr>
            </w:pPr>
          </w:p>
        </w:tc>
      </w:tr>
      <w:tr w:rsidTr="00B0643B">
        <w:tblPrEx>
          <w:tblW w:w="0" w:type="auto"/>
          <w:tblLayout w:type="fixed"/>
          <w:tblCellMar>
            <w:left w:w="62" w:type="dxa"/>
            <w:right w:w="62" w:type="dxa"/>
          </w:tblCellMar>
          <w:tblLook w:val="0000"/>
        </w:tblPrEx>
        <w:trPr>
          <w:trHeight w:val="433"/>
        </w:trPr>
        <w:tc>
          <w:tcPr>
            <w:tcW w:w="683" w:type="dxa"/>
            <w:tcBorders>
              <w:top w:val="nil"/>
              <w:left w:val="nil"/>
              <w:bottom w:val="nil"/>
              <w:right w:val="nil"/>
            </w:tcBorders>
            <w:tcMar>
              <w:top w:w="0" w:type="dxa"/>
              <w:left w:w="62" w:type="dxa"/>
              <w:bottom w:w="0" w:type="dxa"/>
              <w:right w:w="62" w:type="dxa"/>
            </w:tcMar>
          </w:tcPr>
          <w:p w:rsidR="00000000" w:rsidRPr="00B0643B" w:rsidP="00B0643B">
            <w:pPr>
              <w:pStyle w:val="BodyText"/>
            </w:pPr>
            <w:r w:rsidRPr="00B0643B">
              <w:t>5</w:t>
            </w:r>
          </w:p>
        </w:tc>
        <w:tc>
          <w:tcPr>
            <w:tcW w:w="1974" w:type="dxa"/>
            <w:vMerge w:val="restart"/>
            <w:tcBorders>
              <w:top w:val="nil"/>
              <w:left w:val="nil"/>
              <w:bottom w:val="nil"/>
              <w:right w:val="nil"/>
            </w:tcBorders>
            <w:tcMar>
              <w:top w:w="0" w:type="dxa"/>
              <w:left w:w="62" w:type="dxa"/>
              <w:bottom w:w="0" w:type="dxa"/>
              <w:right w:w="62" w:type="dxa"/>
            </w:tcMar>
          </w:tcPr>
          <w:p w:rsidR="00000000" w:rsidP="00B0643B">
            <w:pPr>
              <w:pStyle w:val="BodyText"/>
              <w:rPr>
                <w:lang w:val="en-NZ"/>
              </w:rPr>
            </w:pPr>
            <w:r w:rsidRPr="00B0643B">
              <w:rPr>
                <w:rStyle w:val="SpecialBold"/>
              </w:rPr>
              <w:t>Return to service refrigeration/ air conditioning equipment</w:t>
            </w:r>
          </w:p>
        </w:tc>
        <w:tc>
          <w:tcPr>
            <w:tcW w:w="775" w:type="dxa"/>
            <w:tcBorders>
              <w:top w:val="nil"/>
              <w:left w:val="nil"/>
              <w:bottom w:val="nil"/>
              <w:right w:val="nil"/>
            </w:tcBorders>
            <w:tcMar>
              <w:top w:w="0" w:type="dxa"/>
              <w:left w:w="62" w:type="dxa"/>
              <w:bottom w:w="0" w:type="dxa"/>
              <w:right w:w="62" w:type="dxa"/>
            </w:tcMar>
          </w:tcPr>
          <w:p w:rsidR="00000000" w:rsidP="00B0643B">
            <w:pPr>
              <w:pStyle w:val="BodyText"/>
              <w:rPr>
                <w:lang w:val="en-NZ"/>
              </w:rPr>
            </w:pPr>
            <w:r w:rsidRPr="00B0643B">
              <w:t>5.1</w:t>
            </w:r>
          </w:p>
        </w:tc>
        <w:tc>
          <w:tcPr>
            <w:tcW w:w="5641" w:type="dxa"/>
            <w:tcBorders>
              <w:top w:val="nil"/>
              <w:left w:val="nil"/>
              <w:bottom w:val="nil"/>
              <w:right w:val="nil"/>
            </w:tcBorders>
            <w:tcMar>
              <w:top w:w="0" w:type="dxa"/>
              <w:left w:w="62" w:type="dxa"/>
              <w:bottom w:w="0" w:type="dxa"/>
              <w:right w:w="62" w:type="dxa"/>
            </w:tcMar>
          </w:tcPr>
          <w:p w:rsidR="00000000" w:rsidP="00B0643B">
            <w:pPr>
              <w:pStyle w:val="BodyText"/>
              <w:rPr>
                <w:lang w:val="en-NZ"/>
              </w:rPr>
            </w:pPr>
            <w:r w:rsidRPr="00B0643B">
              <w:t>Reassemble components and test for correct operation and assess against specification</w:t>
            </w:r>
          </w:p>
        </w:tc>
      </w:tr>
      <w:tr w:rsidTr="00B0643B">
        <w:tblPrEx>
          <w:tblW w:w="0" w:type="auto"/>
          <w:tblLayout w:type="fixed"/>
          <w:tblCellMar>
            <w:left w:w="62" w:type="dxa"/>
            <w:right w:w="62" w:type="dxa"/>
          </w:tblCellMar>
          <w:tblLook w:val="0000"/>
        </w:tblPrEx>
        <w:trPr>
          <w:trHeight w:val="433"/>
        </w:trPr>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B0643B">
            <w:pPr>
              <w:pStyle w:val="BodyText"/>
              <w:rPr>
                <w:lang w:val="en-NZ"/>
              </w:rPr>
            </w:pPr>
            <w:r w:rsidRPr="00B0643B">
              <w:t>5.2</w:t>
            </w:r>
          </w:p>
        </w:tc>
        <w:tc>
          <w:tcPr>
            <w:tcW w:w="5641" w:type="dxa"/>
            <w:tcBorders>
              <w:top w:val="nil"/>
              <w:left w:val="nil"/>
              <w:bottom w:val="nil"/>
              <w:right w:val="nil"/>
            </w:tcBorders>
            <w:tcMar>
              <w:top w:w="0" w:type="dxa"/>
              <w:left w:w="62" w:type="dxa"/>
              <w:bottom w:w="0" w:type="dxa"/>
              <w:right w:w="62" w:type="dxa"/>
            </w:tcMar>
          </w:tcPr>
          <w:p w:rsidR="00000000" w:rsidP="00B0643B">
            <w:pPr>
              <w:pStyle w:val="BodyText"/>
              <w:rPr>
                <w:lang w:val="en-NZ"/>
              </w:rPr>
            </w:pPr>
            <w:r w:rsidRPr="00B0643B">
              <w:t xml:space="preserve">Verify correct operation of the equipment </w:t>
            </w:r>
          </w:p>
        </w:tc>
      </w:tr>
      <w:tr w:rsidTr="00B0643B">
        <w:tblPrEx>
          <w:tblW w:w="0" w:type="auto"/>
          <w:tblLayout w:type="fixed"/>
          <w:tblCellMar>
            <w:left w:w="62" w:type="dxa"/>
            <w:right w:w="62" w:type="dxa"/>
          </w:tblCellMar>
          <w:tblLook w:val="0000"/>
        </w:tblPrEx>
        <w:trPr>
          <w:trHeight w:val="433"/>
        </w:trPr>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B0643B">
            <w:pPr>
              <w:pStyle w:val="BodyText"/>
              <w:rPr>
                <w:lang w:val="en-NZ"/>
              </w:rPr>
            </w:pPr>
            <w:r w:rsidRPr="00B0643B">
              <w:t>5.3</w:t>
            </w:r>
          </w:p>
        </w:tc>
        <w:tc>
          <w:tcPr>
            <w:tcW w:w="5641" w:type="dxa"/>
            <w:tcBorders>
              <w:top w:val="nil"/>
              <w:left w:val="nil"/>
              <w:bottom w:val="nil"/>
              <w:right w:val="nil"/>
            </w:tcBorders>
            <w:tcMar>
              <w:top w:w="0" w:type="dxa"/>
              <w:left w:w="62" w:type="dxa"/>
              <w:bottom w:w="0" w:type="dxa"/>
              <w:right w:w="62" w:type="dxa"/>
            </w:tcMar>
          </w:tcPr>
          <w:p w:rsidR="00000000" w:rsidRPr="00B0643B" w:rsidP="00B0643B">
            <w:pPr>
              <w:pStyle w:val="BodyText"/>
            </w:pPr>
            <w:r w:rsidRPr="00B0643B">
              <w:t>Complete maintenance records/service reports according to SOPs and legislative requirements</w:t>
            </w:r>
          </w:p>
        </w:tc>
      </w:tr>
    </w:tbl>
    <w:p w:rsidR="00000000" w:rsidRPr="00B0643B" w:rsidP="00B0643B">
      <w:pPr>
        <w:pStyle w:val="BodyText"/>
      </w:pPr>
    </w:p>
    <w:p w:rsidR="00000000" w:rsidRPr="00B0643B" w:rsidP="00B0643B">
      <w:pPr>
        <w:pStyle w:val="AllowPageBreak"/>
      </w:pPr>
    </w:p>
    <w:p w:rsidR="00000000" w:rsidRPr="00B0643B" w:rsidP="00B0643B">
      <w:pPr>
        <w:pStyle w:val="Heading1"/>
      </w:pPr>
      <w:bookmarkStart w:id="6" w:name="O_941696"/>
      <w:bookmarkEnd w:id="6"/>
      <w:r w:rsidRPr="00B0643B">
        <w:t>Foundation Skills</w:t>
      </w:r>
    </w:p>
    <w:p w:rsidR="00000000" w:rsidRPr="00B0643B" w:rsidP="000730C0">
      <w:pPr>
        <w:pStyle w:val="BodyText"/>
      </w:pPr>
      <w:r w:rsidRPr="00B0643B">
        <w:t>This section describes those required skills (reading, writing, oral communication and numeracy) that are essential to work</w:t>
      </w:r>
      <w:r w:rsidRPr="00B0643B">
        <w:t xml:space="preserve">place performance in this unit of competency.  </w:t>
      </w:r>
    </w:p>
    <w:p w:rsidR="00000000" w:rsidRPr="00B0643B" w:rsidP="000730C0">
      <w:pPr>
        <w:pStyle w:val="BodyText"/>
      </w:pPr>
      <w:r w:rsidRPr="00B0643B">
        <w:t>Foundation skills essential to performance are explicit in the performance criteria of this unit of competency.</w:t>
      </w:r>
    </w:p>
    <w:p w:rsidR="00000000" w:rsidRPr="00B0643B" w:rsidP="00B0643B">
      <w:pPr>
        <w:pStyle w:val="Heading1"/>
      </w:pPr>
      <w:bookmarkStart w:id="7" w:name="O_941695"/>
      <w:bookmarkEnd w:id="7"/>
      <w:r w:rsidRPr="00B0643B">
        <w:t>Range of Conditions</w:t>
      </w:r>
    </w:p>
    <w:tbl>
      <w:tblPr>
        <w:tblW w:w="0" w:type="auto"/>
        <w:tblLayout w:type="fixed"/>
        <w:tblCellMar>
          <w:left w:w="62" w:type="dxa"/>
          <w:right w:w="62" w:type="dxa"/>
        </w:tblCellMar>
        <w:tblLook w:val="0000"/>
      </w:tblPr>
      <w:tblGrid>
        <w:gridCol w:w="2550"/>
        <w:gridCol w:w="6592"/>
      </w:tblGrid>
      <w:tr w:rsidTr="00B0643B">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B0643B">
            <w:pPr>
              <w:pStyle w:val="BodyText"/>
              <w:rPr>
                <w:lang w:val="en-NZ"/>
              </w:rPr>
            </w:pPr>
            <w:r w:rsidRPr="00B0643B">
              <w:t>This field allows for different work en</w:t>
            </w:r>
            <w:r w:rsidRPr="00B0643B">
              <w:t>vironments and conditions that may affect performance. Essential operating conditions that may be present (depending on the work situation, needs of the candidate, accessibility of the item, and local industry and regional contexts) are included.</w:t>
            </w:r>
          </w:p>
        </w:tc>
      </w:tr>
      <w:tr w:rsidTr="00B0643B">
        <w:tblPrEx>
          <w:tblW w:w="0" w:type="auto"/>
          <w:tblLayout w:type="fixed"/>
          <w:tblCellMar>
            <w:left w:w="62" w:type="dxa"/>
            <w:right w:w="62" w:type="dxa"/>
          </w:tblCellMar>
          <w:tblLook w:val="0000"/>
        </w:tblPrEx>
        <w:tc>
          <w:tcPr>
            <w:tcW w:w="2550" w:type="dxa"/>
            <w:tcBorders>
              <w:top w:val="nil"/>
              <w:left w:val="nil"/>
              <w:bottom w:val="nil"/>
              <w:right w:val="nil"/>
            </w:tcBorders>
            <w:tcMar>
              <w:top w:w="0" w:type="dxa"/>
              <w:left w:w="62" w:type="dxa"/>
              <w:bottom w:w="0" w:type="dxa"/>
              <w:right w:w="62" w:type="dxa"/>
            </w:tcMar>
          </w:tcPr>
          <w:p w:rsidR="00000000" w:rsidP="00B0643B">
            <w:pPr>
              <w:pStyle w:val="BodyText"/>
              <w:rPr>
                <w:lang w:val="en-NZ"/>
              </w:rPr>
            </w:pPr>
            <w:r w:rsidRPr="00B0643B">
              <w:rPr>
                <w:rStyle w:val="SpecialBold"/>
              </w:rPr>
              <w:t>Test eq</w:t>
            </w:r>
            <w:r w:rsidRPr="00B0643B">
              <w:rPr>
                <w:rStyle w:val="SpecialBold"/>
              </w:rPr>
              <w:t>uipment includes one (1) or more of the following:</w:t>
            </w:r>
          </w:p>
        </w:tc>
        <w:tc>
          <w:tcPr>
            <w:tcW w:w="6592" w:type="dxa"/>
            <w:tcBorders>
              <w:top w:val="nil"/>
              <w:left w:val="nil"/>
              <w:bottom w:val="nil"/>
              <w:right w:val="nil"/>
            </w:tcBorders>
            <w:tcMar>
              <w:top w:w="0" w:type="dxa"/>
              <w:left w:w="62" w:type="dxa"/>
              <w:bottom w:w="0" w:type="dxa"/>
              <w:right w:w="62" w:type="dxa"/>
            </w:tcMar>
          </w:tcPr>
          <w:p w:rsidR="00000000" w:rsidRPr="00B0643B" w:rsidP="00B0643B">
            <w:pPr>
              <w:pStyle w:val="ListBullet"/>
            </w:pPr>
            <w:r w:rsidRPr="00B0643B">
              <w:t>service manifolds</w:t>
            </w:r>
          </w:p>
          <w:p w:rsidR="00000000" w:rsidRPr="00B0643B" w:rsidP="00B0643B">
            <w:pPr>
              <w:pStyle w:val="ListBullet"/>
            </w:pPr>
            <w:r w:rsidRPr="00B0643B">
              <w:t>pressure gauges</w:t>
            </w:r>
          </w:p>
          <w:p w:rsidR="00000000" w:rsidRPr="00B0643B" w:rsidP="00B0643B">
            <w:pPr>
              <w:pStyle w:val="ListBullet"/>
            </w:pPr>
            <w:r w:rsidRPr="00B0643B">
              <w:t>vacuum gauges</w:t>
            </w:r>
          </w:p>
          <w:p w:rsidR="00000000" w:rsidRPr="00B0643B" w:rsidP="00B0643B">
            <w:pPr>
              <w:pStyle w:val="ListBullet"/>
            </w:pPr>
            <w:r w:rsidRPr="00B0643B">
              <w:t>multimeter</w:t>
            </w:r>
          </w:p>
          <w:p w:rsidR="00000000" w:rsidRPr="00B0643B" w:rsidP="00B0643B">
            <w:pPr>
              <w:pStyle w:val="ListBullet"/>
            </w:pPr>
            <w:r w:rsidRPr="00B0643B">
              <w:t>ampmeter</w:t>
            </w:r>
          </w:p>
          <w:p w:rsidR="00000000" w:rsidRPr="00B0643B" w:rsidP="00B0643B">
            <w:pPr>
              <w:pStyle w:val="ListBullet"/>
            </w:pPr>
            <w:r w:rsidRPr="00B0643B">
              <w:t>insulation resistance tester</w:t>
            </w:r>
          </w:p>
          <w:p w:rsidR="00000000" w:rsidRPr="00B0643B" w:rsidP="00B0643B">
            <w:pPr>
              <w:pStyle w:val="ListBullet"/>
            </w:pPr>
            <w:r w:rsidRPr="00B0643B">
              <w:t>vacuum pump</w:t>
            </w:r>
          </w:p>
          <w:p w:rsidR="00000000" w:rsidP="00B0643B">
            <w:pPr>
              <w:pStyle w:val="BodyText"/>
              <w:rPr>
                <w:lang w:val="en-NZ"/>
              </w:rPr>
            </w:pPr>
          </w:p>
        </w:tc>
      </w:tr>
      <w:tr w:rsidTr="00B0643B">
        <w:tblPrEx>
          <w:tblW w:w="0" w:type="auto"/>
          <w:tblLayout w:type="fixed"/>
          <w:tblCellMar>
            <w:left w:w="62" w:type="dxa"/>
            <w:right w:w="62" w:type="dxa"/>
          </w:tblCellMar>
          <w:tblLook w:val="0000"/>
        </w:tblPrEx>
        <w:tc>
          <w:tcPr>
            <w:tcW w:w="2550" w:type="dxa"/>
            <w:tcBorders>
              <w:top w:val="nil"/>
              <w:left w:val="nil"/>
              <w:bottom w:val="nil"/>
              <w:right w:val="nil"/>
            </w:tcBorders>
            <w:tcMar>
              <w:top w:w="0" w:type="dxa"/>
              <w:left w:w="62" w:type="dxa"/>
              <w:bottom w:w="0" w:type="dxa"/>
              <w:right w:w="62" w:type="dxa"/>
            </w:tcMar>
          </w:tcPr>
          <w:p w:rsidR="00000000" w:rsidP="00B0643B">
            <w:pPr>
              <w:pStyle w:val="BodyText"/>
              <w:rPr>
                <w:lang w:val="en-NZ"/>
              </w:rPr>
            </w:pPr>
            <w:r w:rsidRPr="00B0643B">
              <w:rPr>
                <w:rStyle w:val="SpecialBold"/>
              </w:rPr>
              <w:t>Preventative maintenance tasks include one (1) or more of the following:</w:t>
            </w:r>
          </w:p>
        </w:tc>
        <w:tc>
          <w:tcPr>
            <w:tcW w:w="6592" w:type="dxa"/>
            <w:tcBorders>
              <w:top w:val="nil"/>
              <w:left w:val="nil"/>
              <w:bottom w:val="nil"/>
              <w:right w:val="nil"/>
            </w:tcBorders>
            <w:tcMar>
              <w:top w:w="0" w:type="dxa"/>
              <w:left w:w="62" w:type="dxa"/>
              <w:bottom w:w="0" w:type="dxa"/>
              <w:right w:w="62" w:type="dxa"/>
            </w:tcMar>
          </w:tcPr>
          <w:p w:rsidR="00000000" w:rsidRPr="00B0643B" w:rsidP="00B0643B">
            <w:pPr>
              <w:pStyle w:val="ListBullet"/>
            </w:pPr>
            <w:r w:rsidRPr="00B0643B">
              <w:t>check/adjust fan belts</w:t>
            </w:r>
          </w:p>
          <w:p w:rsidR="00000000" w:rsidRPr="00B0643B" w:rsidP="00B0643B">
            <w:pPr>
              <w:pStyle w:val="ListBullet"/>
            </w:pPr>
            <w:r w:rsidRPr="00B0643B">
              <w:t>check/clean filters</w:t>
            </w:r>
          </w:p>
          <w:p w:rsidR="00000000" w:rsidRPr="00B0643B" w:rsidP="00B0643B">
            <w:pPr>
              <w:pStyle w:val="ListBullet"/>
            </w:pPr>
            <w:r w:rsidRPr="00B0643B">
              <w:t>check/clean heat exchangers (evaporator and condenser)</w:t>
            </w:r>
          </w:p>
          <w:p w:rsidR="00000000" w:rsidRPr="00B0643B" w:rsidP="00B0643B">
            <w:pPr>
              <w:pStyle w:val="ListBullet"/>
            </w:pPr>
            <w:r w:rsidRPr="00B0643B">
              <w:t>overhaul of major system components</w:t>
            </w:r>
          </w:p>
          <w:p w:rsidR="00000000" w:rsidRPr="00B0643B" w:rsidP="00B0643B">
            <w:pPr>
              <w:pStyle w:val="ListBullet"/>
            </w:pPr>
            <w:r w:rsidRPr="00B0643B">
              <w:t>cleaning of major system components</w:t>
            </w:r>
          </w:p>
          <w:p w:rsidR="00000000" w:rsidRPr="00B0643B" w:rsidP="00B0643B">
            <w:pPr>
              <w:pStyle w:val="ListBullet"/>
            </w:pPr>
            <w:r w:rsidRPr="00B0643B">
              <w:t>testing operation of all control and safety devices</w:t>
            </w:r>
          </w:p>
          <w:p w:rsidR="00000000" w:rsidRPr="00B0643B" w:rsidP="00B0643B">
            <w:pPr>
              <w:pStyle w:val="ListBullet"/>
            </w:pPr>
            <w:r w:rsidRPr="00B0643B">
              <w:t>testing refrigeration charge</w:t>
            </w:r>
          </w:p>
          <w:p w:rsidR="00000000" w:rsidRPr="00B0643B" w:rsidP="00B0643B">
            <w:pPr>
              <w:pStyle w:val="ListBullet"/>
            </w:pPr>
            <w:r w:rsidRPr="00B0643B">
              <w:t>testi</w:t>
            </w:r>
            <w:r w:rsidRPr="00B0643B">
              <w:t>ng operational current</w:t>
            </w:r>
          </w:p>
          <w:p w:rsidR="00000000" w:rsidRPr="00B0643B" w:rsidP="00B0643B">
            <w:pPr>
              <w:pStyle w:val="ListBullet"/>
            </w:pPr>
            <w:r w:rsidRPr="00B0643B">
              <w:t>testing insulation resistance of relevant electrical components</w:t>
            </w:r>
          </w:p>
          <w:p w:rsidR="00000000" w:rsidP="00B0643B">
            <w:pPr>
              <w:pStyle w:val="BodyText"/>
              <w:rPr>
                <w:lang w:val="en-NZ"/>
              </w:rPr>
            </w:pPr>
          </w:p>
        </w:tc>
      </w:tr>
      <w:tr w:rsidTr="00B0643B">
        <w:tblPrEx>
          <w:tblW w:w="0" w:type="auto"/>
          <w:tblLayout w:type="fixed"/>
          <w:tblCellMar>
            <w:left w:w="62" w:type="dxa"/>
            <w:right w:w="62" w:type="dxa"/>
          </w:tblCellMar>
          <w:tblLook w:val="0000"/>
        </w:tblPrEx>
        <w:tc>
          <w:tcPr>
            <w:tcW w:w="2550" w:type="dxa"/>
            <w:tcBorders>
              <w:top w:val="nil"/>
              <w:left w:val="nil"/>
              <w:bottom w:val="nil"/>
              <w:right w:val="nil"/>
            </w:tcBorders>
            <w:tcMar>
              <w:top w:w="0" w:type="dxa"/>
              <w:left w:w="62" w:type="dxa"/>
              <w:bottom w:w="0" w:type="dxa"/>
              <w:right w:w="62" w:type="dxa"/>
            </w:tcMar>
          </w:tcPr>
          <w:p w:rsidR="00000000" w:rsidP="00B0643B">
            <w:pPr>
              <w:pStyle w:val="BodyText"/>
              <w:rPr>
                <w:lang w:val="en-NZ"/>
              </w:rPr>
            </w:pPr>
            <w:r w:rsidRPr="00B0643B">
              <w:rPr>
                <w:rStyle w:val="SpecialBold"/>
              </w:rPr>
              <w:t>Governing and guidance documentation includes the following:</w:t>
            </w:r>
          </w:p>
        </w:tc>
        <w:tc>
          <w:tcPr>
            <w:tcW w:w="6592" w:type="dxa"/>
            <w:tcBorders>
              <w:top w:val="nil"/>
              <w:left w:val="nil"/>
              <w:bottom w:val="nil"/>
              <w:right w:val="nil"/>
            </w:tcBorders>
            <w:tcMar>
              <w:top w:w="0" w:type="dxa"/>
              <w:left w:w="62" w:type="dxa"/>
              <w:bottom w:w="0" w:type="dxa"/>
              <w:right w:w="62" w:type="dxa"/>
            </w:tcMar>
          </w:tcPr>
          <w:p w:rsidR="00000000" w:rsidRPr="00B0643B" w:rsidP="00B0643B">
            <w:pPr>
              <w:pStyle w:val="ListBullet"/>
            </w:pPr>
            <w:r w:rsidRPr="00B0643B">
              <w:t>noise and environmental regulations</w:t>
            </w:r>
          </w:p>
          <w:p w:rsidR="00000000" w:rsidRPr="00B0643B" w:rsidP="00B0643B">
            <w:pPr>
              <w:pStyle w:val="ListBullet"/>
            </w:pPr>
            <w:r w:rsidRPr="00B0643B">
              <w:t>applicable Commonwealth, state and territory regulations and legislation</w:t>
            </w:r>
          </w:p>
          <w:p w:rsidR="00000000" w:rsidRPr="00B0643B" w:rsidP="00B0643B">
            <w:pPr>
              <w:pStyle w:val="ListBullet"/>
            </w:pPr>
            <w:r w:rsidRPr="00B0643B">
              <w:t>air conditioning residential best practice guidelines (AIRAH)</w:t>
            </w:r>
          </w:p>
          <w:p w:rsidR="00000000" w:rsidRPr="00B0643B" w:rsidP="00B0643B">
            <w:pPr>
              <w:pStyle w:val="ListBullet"/>
            </w:pPr>
            <w:r w:rsidRPr="00B0643B">
              <w:t>AIRAH flammable refrigerant fact sheets and guide</w:t>
            </w:r>
          </w:p>
          <w:p w:rsidR="00000000" w:rsidRPr="00B0643B" w:rsidP="00B0643B">
            <w:pPr>
              <w:pStyle w:val="BodyText"/>
            </w:pPr>
          </w:p>
        </w:tc>
      </w:tr>
    </w:tbl>
    <w:p w:rsidR="00000000" w:rsidRPr="00B0643B" w:rsidP="00B0643B">
      <w:pPr>
        <w:pStyle w:val="BodyText"/>
      </w:pPr>
    </w:p>
    <w:p w:rsidR="00000000" w:rsidRPr="00B0643B" w:rsidP="00B0643B">
      <w:pPr>
        <w:pStyle w:val="AllowPageBreak"/>
      </w:pPr>
    </w:p>
    <w:p w:rsidR="00000000" w:rsidRPr="00B0643B" w:rsidP="00B0643B">
      <w:pPr>
        <w:pStyle w:val="Heading1"/>
      </w:pPr>
      <w:bookmarkStart w:id="8" w:name="O_941694"/>
      <w:bookmarkEnd w:id="8"/>
      <w:r w:rsidRPr="00B0643B">
        <w:t>Unit Mapping Information</w:t>
      </w:r>
    </w:p>
    <w:p w:rsidR="00000000" w:rsidRPr="00B0643B" w:rsidP="000730C0">
      <w:pPr>
        <w:pStyle w:val="BodyText"/>
      </w:pPr>
      <w:r w:rsidRPr="00B0643B">
        <w:t xml:space="preserve">Release 1. Supersedes and </w:t>
      </w:r>
      <w:r w:rsidRPr="00B0643B">
        <w:t>is equivalent to MEM18087B Service and repair domestic and light commercial refrigeration and air conditioning equipment</w:t>
      </w:r>
    </w:p>
    <w:p w:rsidR="00000000" w:rsidRPr="00B0643B" w:rsidP="00B0643B">
      <w:pPr>
        <w:pStyle w:val="Heading1"/>
      </w:pPr>
      <w:bookmarkStart w:id="9" w:name="O_941687"/>
      <w:bookmarkEnd w:id="9"/>
      <w:r w:rsidRPr="00B0643B">
        <w:t>Links</w:t>
      </w:r>
    </w:p>
    <w:p w:rsidR="00000000" w:rsidRPr="00B0643B" w:rsidP="000730C0">
      <w:pPr>
        <w:pStyle w:val="BodyText"/>
      </w:pPr>
      <w:r w:rsidRPr="00B0643B">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BF478C">
        <w:rPr>
          <w:rStyle w:val="Hyperlink"/>
        </w:rPr>
        <w:t>https://vetnet.gov.au/Pages/TrainingDocs.aspx?q=b7050d37-5fd0-4740-8f7d-3b7a49c10bb2</w:t>
      </w:r>
      <w:r>
        <w:fldChar w:fldCharType="end"/>
      </w:r>
    </w:p>
    <w:p w:rsidR="00000000" w:rsidRPr="00B0643B" w:rsidP="00B0643B"/>
    <w:sectPr w:rsidSect="00B0643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4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43B" w:rsidRPr="000730C0" w:rsidP="000730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4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0C0" w:rsidP="00B064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730C0" w:rsidP="00B0643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730C0" w:rsidP="00B064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4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0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643B" w:rsidRPr="000730C0" w:rsidP="000730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4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0C0" w:rsidRPr="002D2AF8" w:rsidP="00B0643B">
    <w:pPr>
      <w:pStyle w:val="Header"/>
      <w:framePr w:wrap="around"/>
    </w:pPr>
    <w:r>
      <w:fldChar w:fldCharType="begin"/>
    </w:r>
    <w:r>
      <w:instrText xml:space="preserve"> TITLE   \* MERGEFORMAT </w:instrText>
    </w:r>
    <w:r>
      <w:fldChar w:fldCharType="separate"/>
    </w:r>
    <w:r>
      <w:t>MEM18087 Service and repair domestic and light commercial refrigeration and air conditioning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0730C0" w:rsidP="00B064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29A9D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A3235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64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643B"/>
    <w:pPr>
      <w:spacing w:before="360" w:after="60"/>
      <w:outlineLvl w:val="0"/>
    </w:pPr>
    <w:rPr>
      <w:sz w:val="32"/>
    </w:rPr>
  </w:style>
  <w:style w:type="paragraph" w:styleId="Heading2">
    <w:name w:val="heading 2"/>
    <w:basedOn w:val="HeadingBase"/>
    <w:next w:val="BodyText"/>
    <w:link w:val="Heading2Char"/>
    <w:qFormat/>
    <w:rsid w:val="00B0643B"/>
    <w:pPr>
      <w:keepLines/>
      <w:spacing w:before="240" w:after="120"/>
      <w:outlineLvl w:val="1"/>
    </w:pPr>
    <w:rPr>
      <w:sz w:val="28"/>
      <w:szCs w:val="40"/>
    </w:rPr>
  </w:style>
  <w:style w:type="paragraph" w:styleId="Heading3">
    <w:name w:val="heading 3"/>
    <w:basedOn w:val="HeadingBase"/>
    <w:next w:val="BodyText"/>
    <w:link w:val="Heading3Char"/>
    <w:qFormat/>
    <w:rsid w:val="00B0643B"/>
    <w:pPr>
      <w:spacing w:before="180" w:after="120"/>
      <w:outlineLvl w:val="2"/>
    </w:pPr>
    <w:rPr>
      <w:spacing w:val="-10"/>
      <w:kern w:val="32"/>
    </w:rPr>
  </w:style>
  <w:style w:type="paragraph" w:styleId="Heading4">
    <w:name w:val="heading 4"/>
    <w:basedOn w:val="HeadingBase"/>
    <w:next w:val="BodyText"/>
    <w:link w:val="Heading4Char"/>
    <w:qFormat/>
    <w:rsid w:val="00B0643B"/>
    <w:pPr>
      <w:spacing w:before="160" w:after="120"/>
      <w:outlineLvl w:val="3"/>
    </w:pPr>
    <w:rPr>
      <w:sz w:val="22"/>
    </w:rPr>
  </w:style>
  <w:style w:type="paragraph" w:styleId="Heading5">
    <w:name w:val="heading 5"/>
    <w:basedOn w:val="HeadingBase"/>
    <w:next w:val="Normal"/>
    <w:link w:val="Heading5Char"/>
    <w:qFormat/>
    <w:rsid w:val="00B0643B"/>
    <w:pPr>
      <w:spacing w:before="80"/>
      <w:outlineLvl w:val="4"/>
    </w:pPr>
    <w:rPr>
      <w:color w:val="918585"/>
      <w:sz w:val="20"/>
    </w:rPr>
  </w:style>
  <w:style w:type="paragraph" w:styleId="Heading6">
    <w:name w:val="heading 6"/>
    <w:basedOn w:val="HeadingBase"/>
    <w:next w:val="Normal"/>
    <w:link w:val="Heading6Char"/>
    <w:qFormat/>
    <w:rsid w:val="00B0643B"/>
    <w:pPr>
      <w:spacing w:before="60"/>
      <w:outlineLvl w:val="5"/>
    </w:pPr>
    <w:rPr>
      <w:color w:val="918585"/>
      <w:sz w:val="20"/>
    </w:rPr>
  </w:style>
  <w:style w:type="paragraph" w:styleId="Heading7">
    <w:name w:val="heading 7"/>
    <w:basedOn w:val="Normal"/>
    <w:next w:val="Normal"/>
    <w:link w:val="Heading7Char"/>
    <w:qFormat/>
    <w:rsid w:val="00B0643B"/>
    <w:pPr>
      <w:ind w:left="720"/>
      <w:outlineLvl w:val="6"/>
    </w:pPr>
    <w:rPr>
      <w:i/>
    </w:rPr>
  </w:style>
  <w:style w:type="paragraph" w:styleId="Heading8">
    <w:name w:val="heading 8"/>
    <w:basedOn w:val="Normal"/>
    <w:next w:val="Normal"/>
    <w:link w:val="Heading8Char"/>
    <w:qFormat/>
    <w:rsid w:val="00B0643B"/>
    <w:pPr>
      <w:ind w:left="720"/>
      <w:outlineLvl w:val="7"/>
    </w:pPr>
    <w:rPr>
      <w:i/>
    </w:rPr>
  </w:style>
  <w:style w:type="paragraph" w:styleId="Heading9">
    <w:name w:val="heading 9"/>
    <w:basedOn w:val="Normal"/>
    <w:next w:val="Normal"/>
    <w:link w:val="Heading9Char"/>
    <w:qFormat/>
    <w:rsid w:val="00B0643B"/>
    <w:pPr>
      <w:ind w:left="720"/>
      <w:outlineLvl w:val="8"/>
    </w:pPr>
    <w:rPr>
      <w:i/>
    </w:rPr>
  </w:style>
  <w:style w:type="character" w:default="1" w:styleId="DefaultParagraphFont">
    <w:name w:val="Default Paragraph Font"/>
    <w:uiPriority w:val="1"/>
    <w:unhideWhenUsed/>
    <w:rsid w:val="00B064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643B"/>
  </w:style>
  <w:style w:type="character" w:customStyle="1" w:styleId="Heading1Char">
    <w:name w:val="Heading 1 Char"/>
    <w:basedOn w:val="DefaultParagraphFont"/>
    <w:link w:val="Heading1"/>
    <w:rsid w:val="00B0643B"/>
    <w:rPr>
      <w:rFonts w:ascii="Times New Roman" w:eastAsia="Times New Roman" w:hAnsi="Times New Roman" w:cs="Times New Roman"/>
      <w:b/>
      <w:sz w:val="32"/>
      <w:szCs w:val="20"/>
      <w:lang w:eastAsia="en-US"/>
    </w:rPr>
  </w:style>
  <w:style w:type="paragraph" w:styleId="BodyText">
    <w:name w:val="Body Text"/>
    <w:basedOn w:val="Normal"/>
    <w:link w:val="BodyTextChar"/>
    <w:rsid w:val="00B064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643B"/>
    <w:rPr>
      <w:rFonts w:ascii="Times New Roman" w:eastAsia="Times New Roman" w:hAnsi="Times New Roman" w:cs="Times New Roman"/>
      <w:sz w:val="24"/>
      <w:lang w:eastAsia="en-US"/>
    </w:rPr>
  </w:style>
  <w:style w:type="paragraph" w:styleId="ListBullet">
    <w:name w:val="List Bullet"/>
    <w:basedOn w:val="List"/>
    <w:rsid w:val="00B0643B"/>
    <w:pPr>
      <w:numPr>
        <w:numId w:val="11"/>
      </w:numPr>
      <w:tabs>
        <w:tab w:val="clear" w:pos="340"/>
      </w:tabs>
      <w:spacing w:before="40" w:after="40"/>
    </w:pPr>
  </w:style>
  <w:style w:type="character" w:customStyle="1" w:styleId="SpecialBold">
    <w:name w:val="Special Bold"/>
    <w:basedOn w:val="DefaultParagraphFont"/>
    <w:rsid w:val="00B0643B"/>
    <w:rPr>
      <w:b/>
      <w:spacing w:val="0"/>
    </w:rPr>
  </w:style>
  <w:style w:type="paragraph" w:customStyle="1" w:styleId="SuperHeading">
    <w:name w:val="SuperHeading"/>
    <w:basedOn w:val="Normal"/>
    <w:rsid w:val="00B0643B"/>
    <w:pPr>
      <w:spacing w:before="240" w:after="120"/>
      <w:outlineLvl w:val="0"/>
    </w:pPr>
    <w:rPr>
      <w:rFonts w:ascii="Times New Roman" w:hAnsi="Times New Roman"/>
      <w:b/>
      <w:sz w:val="32"/>
    </w:rPr>
  </w:style>
  <w:style w:type="paragraph" w:customStyle="1" w:styleId="AllowPageBreak">
    <w:name w:val="AllowPageBreak"/>
    <w:rsid w:val="00B064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64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64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64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64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64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64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64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643B"/>
    <w:rPr>
      <w:rFonts w:ascii="Courier New" w:eastAsia="Times New Roman" w:hAnsi="Courier New" w:cs="Times New Roman"/>
      <w:i/>
      <w:szCs w:val="20"/>
      <w:lang w:eastAsia="en-US"/>
    </w:rPr>
  </w:style>
  <w:style w:type="paragraph" w:customStyle="1" w:styleId="HeadingBase">
    <w:name w:val="Heading Base"/>
    <w:rsid w:val="00B064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643B"/>
    <w:pPr>
      <w:tabs>
        <w:tab w:val="right" w:leader="dot" w:pos="9072"/>
      </w:tabs>
      <w:ind w:left="567"/>
    </w:pPr>
    <w:rPr>
      <w:szCs w:val="22"/>
    </w:rPr>
  </w:style>
  <w:style w:type="paragraph" w:customStyle="1" w:styleId="TOCBase">
    <w:name w:val="TOC Base"/>
    <w:rsid w:val="00B064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643B"/>
    <w:pPr>
      <w:tabs>
        <w:tab w:val="right" w:leader="dot" w:pos="9072"/>
      </w:tabs>
      <w:spacing w:before="40" w:after="40"/>
      <w:ind w:left="284"/>
    </w:pPr>
    <w:rPr>
      <w:rFonts w:ascii="Times New Roman" w:hAnsi="Times New Roman"/>
    </w:rPr>
  </w:style>
  <w:style w:type="paragraph" w:styleId="TOC1">
    <w:name w:val="toc 1"/>
    <w:basedOn w:val="TOCBase"/>
    <w:next w:val="Normal"/>
    <w:rsid w:val="00B064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64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643B"/>
    <w:rPr>
      <w:rFonts w:ascii="Times New Roman" w:eastAsia="Times New Roman" w:hAnsi="Times New Roman" w:cs="Times New Roman"/>
      <w:sz w:val="16"/>
      <w:lang w:eastAsia="en-US"/>
    </w:rPr>
  </w:style>
  <w:style w:type="paragraph" w:styleId="Title">
    <w:name w:val="Title"/>
    <w:basedOn w:val="HeadingBase"/>
    <w:link w:val="TitleChar"/>
    <w:qFormat/>
    <w:rsid w:val="00B0643B"/>
    <w:pPr>
      <w:spacing w:before="5040"/>
      <w:jc w:val="center"/>
    </w:pPr>
    <w:rPr>
      <w:sz w:val="48"/>
      <w:szCs w:val="72"/>
      <w:lang w:val="en-US"/>
    </w:rPr>
  </w:style>
  <w:style w:type="character" w:customStyle="1" w:styleId="TitleChar">
    <w:name w:val="Title Char"/>
    <w:basedOn w:val="DefaultParagraphFont"/>
    <w:link w:val="Title"/>
    <w:rsid w:val="00B064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643B"/>
    <w:pPr>
      <w:tabs>
        <w:tab w:val="left" w:pos="3600"/>
        <w:tab w:val="left" w:pos="3958"/>
      </w:tabs>
    </w:pPr>
  </w:style>
  <w:style w:type="paragraph" w:styleId="List">
    <w:name w:val="List"/>
    <w:basedOn w:val="BodyText"/>
    <w:next w:val="BodyText"/>
    <w:rsid w:val="00B0643B"/>
    <w:pPr>
      <w:tabs>
        <w:tab w:val="left" w:pos="340"/>
      </w:tabs>
      <w:spacing w:before="60" w:after="60"/>
      <w:ind w:left="340" w:hanging="340"/>
    </w:pPr>
  </w:style>
  <w:style w:type="paragraph" w:customStyle="1" w:styleId="Note">
    <w:name w:val="Note"/>
    <w:basedOn w:val="BodyText"/>
    <w:rsid w:val="00B064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643B"/>
    <w:pPr>
      <w:framePr w:wrap="auto" w:hAnchor="text" w:y="6049"/>
    </w:pPr>
    <w:rPr>
      <w:color w:val="000000"/>
      <w:sz w:val="40"/>
    </w:rPr>
  </w:style>
  <w:style w:type="paragraph" w:customStyle="1" w:styleId="TOCTitle">
    <w:name w:val="TOCTitle"/>
    <w:basedOn w:val="Heading1"/>
    <w:rsid w:val="00B0643B"/>
    <w:pPr>
      <w:spacing w:after="240"/>
      <w:jc w:val="center"/>
      <w:outlineLvl w:val="9"/>
    </w:pPr>
    <w:rPr>
      <w:caps/>
    </w:rPr>
  </w:style>
  <w:style w:type="paragraph" w:customStyle="1" w:styleId="Version">
    <w:name w:val="Version"/>
    <w:rsid w:val="00B0643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0643B"/>
    <w:pPr>
      <w:numPr>
        <w:numId w:val="12"/>
      </w:numPr>
      <w:tabs>
        <w:tab w:val="clear" w:pos="680"/>
      </w:tabs>
    </w:pPr>
  </w:style>
  <w:style w:type="paragraph" w:styleId="Index1">
    <w:name w:val="index 1"/>
    <w:basedOn w:val="Normal"/>
    <w:next w:val="Normal"/>
    <w:semiHidden/>
    <w:rsid w:val="00B0643B"/>
    <w:pPr>
      <w:keepNext w:val="0"/>
      <w:tabs>
        <w:tab w:val="right" w:pos="4176"/>
      </w:tabs>
      <w:ind w:left="198" w:hanging="198"/>
    </w:pPr>
    <w:rPr>
      <w:rFonts w:ascii="Garamond" w:hAnsi="Garamond"/>
    </w:rPr>
  </w:style>
  <w:style w:type="paragraph" w:styleId="IndexHeading">
    <w:name w:val="index heading"/>
    <w:basedOn w:val="Normal"/>
    <w:next w:val="Index1"/>
    <w:semiHidden/>
    <w:rsid w:val="00B0643B"/>
    <w:pPr>
      <w:spacing w:before="120" w:after="120"/>
    </w:pPr>
    <w:rPr>
      <w:rFonts w:ascii="Arial" w:hAnsi="Arial"/>
      <w:b/>
      <w:color w:val="918585"/>
      <w:sz w:val="24"/>
    </w:rPr>
  </w:style>
  <w:style w:type="paragraph" w:styleId="Header">
    <w:name w:val="header"/>
    <w:basedOn w:val="Normal"/>
    <w:link w:val="HeaderChar"/>
    <w:rsid w:val="00B064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643B"/>
    <w:rPr>
      <w:rFonts w:ascii="Times New Roman" w:eastAsia="Times New Roman" w:hAnsi="Times New Roman" w:cs="Times New Roman"/>
      <w:sz w:val="16"/>
      <w:szCs w:val="20"/>
      <w:lang w:val="en-GB" w:eastAsia="en-US"/>
    </w:rPr>
  </w:style>
  <w:style w:type="paragraph" w:customStyle="1" w:styleId="Chapter">
    <w:name w:val="Chapter"/>
    <w:basedOn w:val="Normal"/>
    <w:rsid w:val="00B0643B"/>
    <w:pPr>
      <w:spacing w:before="240"/>
    </w:pPr>
    <w:rPr>
      <w:rFonts w:ascii="Times New Roman" w:hAnsi="Times New Roman"/>
      <w:smallCaps/>
      <w:spacing w:val="80"/>
      <w:sz w:val="28"/>
    </w:rPr>
  </w:style>
  <w:style w:type="paragraph" w:customStyle="1" w:styleId="InChapter">
    <w:name w:val="InChapter"/>
    <w:basedOn w:val="Heading3"/>
    <w:rsid w:val="00B0643B"/>
    <w:pPr>
      <w:spacing w:after="240"/>
      <w:outlineLvl w:val="9"/>
    </w:pPr>
    <w:rPr>
      <w:noProof/>
    </w:rPr>
  </w:style>
  <w:style w:type="paragraph" w:styleId="Index2">
    <w:name w:val="index 2"/>
    <w:basedOn w:val="Normal"/>
    <w:next w:val="Normal"/>
    <w:semiHidden/>
    <w:rsid w:val="00B0643B"/>
    <w:pPr>
      <w:tabs>
        <w:tab w:val="right" w:pos="4176"/>
      </w:tabs>
      <w:ind w:left="568" w:hanging="284"/>
    </w:pPr>
    <w:rPr>
      <w:rFonts w:ascii="Garamond" w:hAnsi="Garamond"/>
    </w:rPr>
  </w:style>
  <w:style w:type="paragraph" w:customStyle="1" w:styleId="Byline">
    <w:name w:val="Byline"/>
    <w:rsid w:val="00B064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643B"/>
    <w:pPr>
      <w:tabs>
        <w:tab w:val="clear" w:pos="3600"/>
        <w:tab w:val="clear" w:pos="3958"/>
      </w:tabs>
      <w:jc w:val="right"/>
    </w:pPr>
  </w:style>
  <w:style w:type="character" w:styleId="Emphasis">
    <w:name w:val="Emphasis"/>
    <w:basedOn w:val="DefaultParagraphFont"/>
    <w:qFormat/>
    <w:rsid w:val="00B0643B"/>
    <w:rPr>
      <w:i/>
    </w:rPr>
  </w:style>
  <w:style w:type="paragraph" w:styleId="Caption">
    <w:name w:val="caption"/>
    <w:basedOn w:val="BodyText"/>
    <w:next w:val="Normal"/>
    <w:qFormat/>
    <w:rsid w:val="00B0643B"/>
    <w:pPr>
      <w:framePr w:w="2268" w:hSpace="181" w:vSpace="181" w:wrap="around" w:vAnchor="text" w:hAnchor="page" w:x="1135" w:y="285" w:anchorLock="1"/>
    </w:pPr>
    <w:rPr>
      <w:i/>
    </w:rPr>
  </w:style>
  <w:style w:type="paragraph" w:customStyle="1" w:styleId="MiniTOCTitle">
    <w:name w:val="MiniTOCTitle"/>
    <w:basedOn w:val="Heading4"/>
    <w:rsid w:val="00B0643B"/>
    <w:pPr>
      <w:spacing w:before="240"/>
      <w:outlineLvl w:val="9"/>
    </w:pPr>
    <w:rPr>
      <w:noProof/>
      <w:sz w:val="24"/>
    </w:rPr>
  </w:style>
  <w:style w:type="paragraph" w:customStyle="1" w:styleId="MiniTOCItem">
    <w:name w:val="MiniTOCItem"/>
    <w:basedOn w:val="ListBullet"/>
    <w:rsid w:val="00B0643B"/>
    <w:pPr>
      <w:numPr>
        <w:numId w:val="0"/>
      </w:numPr>
      <w:tabs>
        <w:tab w:val="right" w:leader="dot" w:pos="6521"/>
      </w:tabs>
      <w:spacing w:before="0" w:after="0"/>
    </w:pPr>
  </w:style>
  <w:style w:type="paragraph" w:customStyle="1" w:styleId="TOFTitle">
    <w:name w:val="TOFTitle"/>
    <w:basedOn w:val="TOCTitle"/>
    <w:rsid w:val="00B0643B"/>
  </w:style>
  <w:style w:type="paragraph" w:styleId="TableofFigures">
    <w:name w:val="table of figures"/>
    <w:basedOn w:val="Normal"/>
    <w:next w:val="Normal"/>
    <w:semiHidden/>
    <w:rsid w:val="00B0643B"/>
    <w:pPr>
      <w:tabs>
        <w:tab w:val="right" w:leader="dot" w:pos="9072"/>
      </w:tabs>
      <w:ind w:left="970" w:hanging="403"/>
    </w:pPr>
    <w:rPr>
      <w:rFonts w:ascii="Times New Roman" w:hAnsi="Times New Roman"/>
      <w:b/>
    </w:rPr>
  </w:style>
  <w:style w:type="paragraph" w:styleId="ListNumber">
    <w:name w:val="List Number"/>
    <w:basedOn w:val="List"/>
    <w:rsid w:val="00B0643B"/>
    <w:pPr>
      <w:numPr>
        <w:numId w:val="14"/>
      </w:numPr>
      <w:tabs>
        <w:tab w:val="clear" w:pos="340"/>
      </w:tabs>
    </w:pPr>
  </w:style>
  <w:style w:type="character" w:customStyle="1" w:styleId="WingdingSymbols">
    <w:name w:val="Wingding Symbols"/>
    <w:rsid w:val="00B0643B"/>
    <w:rPr>
      <w:rFonts w:ascii="Wingdings" w:hAnsi="Wingdings"/>
    </w:rPr>
  </w:style>
  <w:style w:type="paragraph" w:customStyle="1" w:styleId="TableHeading">
    <w:name w:val="Table Heading"/>
    <w:basedOn w:val="HeadingBase"/>
    <w:rsid w:val="00B0643B"/>
    <w:pPr>
      <w:keepLines/>
      <w:pBdr>
        <w:bottom w:val="single" w:sz="6" w:space="1" w:color="918585"/>
      </w:pBdr>
      <w:spacing w:before="240"/>
    </w:pPr>
  </w:style>
  <w:style w:type="character" w:customStyle="1" w:styleId="HotSpot">
    <w:name w:val="HotSpot"/>
    <w:rsid w:val="00B0643B"/>
    <w:rPr>
      <w:color w:val="0033CC"/>
      <w:u w:val="none"/>
    </w:rPr>
  </w:style>
  <w:style w:type="paragraph" w:customStyle="1" w:styleId="BodyTextRight">
    <w:name w:val="Body Text Right"/>
    <w:basedOn w:val="BodyText"/>
    <w:rsid w:val="00B0643B"/>
    <w:pPr>
      <w:spacing w:before="0" w:after="0"/>
      <w:jc w:val="right"/>
    </w:pPr>
  </w:style>
  <w:style w:type="paragraph" w:styleId="Index3">
    <w:name w:val="index 3"/>
    <w:basedOn w:val="ListNumber2"/>
    <w:next w:val="Normal"/>
    <w:semiHidden/>
    <w:rsid w:val="00B0643B"/>
    <w:pPr>
      <w:numPr>
        <w:numId w:val="0"/>
      </w:numPr>
      <w:tabs>
        <w:tab w:val="right" w:leader="dot" w:pos="4176"/>
      </w:tabs>
    </w:pPr>
  </w:style>
  <w:style w:type="paragraph" w:styleId="ListNumber2">
    <w:name w:val="List Number 2"/>
    <w:basedOn w:val="List2"/>
    <w:rsid w:val="00B0643B"/>
    <w:pPr>
      <w:numPr>
        <w:numId w:val="9"/>
      </w:numPr>
      <w:tabs>
        <w:tab w:val="clear" w:pos="1060"/>
      </w:tabs>
    </w:pPr>
  </w:style>
  <w:style w:type="paragraph" w:customStyle="1" w:styleId="MarginNote">
    <w:name w:val="Margin Note"/>
    <w:basedOn w:val="BodyText"/>
    <w:rsid w:val="00B064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64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64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643B"/>
    <w:rPr>
      <w:sz w:val="32"/>
    </w:rPr>
  </w:style>
  <w:style w:type="paragraph" w:customStyle="1" w:styleId="HeadingProcedure">
    <w:name w:val="Heading Procedure"/>
    <w:basedOn w:val="HeadingBase"/>
    <w:next w:val="Normal"/>
    <w:rsid w:val="00B0643B"/>
    <w:pPr>
      <w:tabs>
        <w:tab w:val="left" w:pos="0"/>
      </w:tabs>
      <w:spacing w:before="120" w:after="60"/>
    </w:pPr>
    <w:rPr>
      <w:i/>
      <w:color w:val="918585"/>
      <w:sz w:val="22"/>
    </w:rPr>
  </w:style>
  <w:style w:type="paragraph" w:customStyle="1" w:styleId="TableBodyText">
    <w:name w:val="Table Body Text"/>
    <w:basedOn w:val="BodyText"/>
    <w:rsid w:val="00B0643B"/>
    <w:pPr>
      <w:spacing w:before="60" w:after="60"/>
    </w:pPr>
  </w:style>
  <w:style w:type="paragraph" w:styleId="ListContinue">
    <w:name w:val="List Continue"/>
    <w:basedOn w:val="List"/>
    <w:rsid w:val="00B0643B"/>
    <w:pPr>
      <w:ind w:firstLine="0"/>
    </w:pPr>
  </w:style>
  <w:style w:type="paragraph" w:customStyle="1" w:styleId="ListNote">
    <w:name w:val="List Note"/>
    <w:basedOn w:val="List"/>
    <w:rsid w:val="00B0643B"/>
    <w:pPr>
      <w:pBdr>
        <w:top w:val="single" w:sz="6" w:space="2" w:color="918585"/>
        <w:bottom w:val="single" w:sz="6" w:space="2" w:color="918585"/>
      </w:pBdr>
      <w:tabs>
        <w:tab w:val="left" w:pos="1021"/>
      </w:tabs>
      <w:ind w:firstLine="0"/>
    </w:pPr>
  </w:style>
  <w:style w:type="paragraph" w:customStyle="1" w:styleId="Warning">
    <w:name w:val="Warning"/>
    <w:basedOn w:val="BodyText"/>
    <w:rsid w:val="00B0643B"/>
    <w:pPr>
      <w:shd w:val="clear" w:color="auto" w:fill="D9D9D9"/>
      <w:tabs>
        <w:tab w:val="left" w:pos="992"/>
      </w:tabs>
      <w:ind w:left="119" w:right="119"/>
    </w:pPr>
    <w:rPr>
      <w:sz w:val="20"/>
    </w:rPr>
  </w:style>
  <w:style w:type="paragraph" w:customStyle="1" w:styleId="MarginIcons">
    <w:name w:val="Margin Icons"/>
    <w:basedOn w:val="BodyText"/>
    <w:rsid w:val="00B064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643B"/>
    <w:rPr>
      <w:rFonts w:ascii="Courier New" w:hAnsi="Courier New"/>
    </w:rPr>
  </w:style>
  <w:style w:type="paragraph" w:customStyle="1" w:styleId="NoteBullet">
    <w:name w:val="Note Bullet"/>
    <w:basedOn w:val="Note"/>
    <w:rsid w:val="00B0643B"/>
    <w:pPr>
      <w:tabs>
        <w:tab w:val="clear" w:pos="680"/>
      </w:tabs>
      <w:spacing w:before="60" w:after="60"/>
    </w:pPr>
  </w:style>
  <w:style w:type="paragraph" w:customStyle="1" w:styleId="SubHeading2">
    <w:name w:val="SubHeading2"/>
    <w:basedOn w:val="HeadingBase"/>
    <w:rsid w:val="00B0643B"/>
    <w:pPr>
      <w:spacing w:before="240" w:after="60"/>
    </w:pPr>
    <w:rPr>
      <w:sz w:val="20"/>
    </w:rPr>
  </w:style>
  <w:style w:type="paragraph" w:customStyle="1" w:styleId="SubHeading1">
    <w:name w:val="SubHeading1"/>
    <w:basedOn w:val="HeadingBase"/>
    <w:rsid w:val="00B0643B"/>
    <w:pPr>
      <w:spacing w:before="240" w:after="60"/>
    </w:pPr>
    <w:rPr>
      <w:color w:val="918585"/>
      <w:sz w:val="22"/>
    </w:rPr>
  </w:style>
  <w:style w:type="paragraph" w:customStyle="1" w:styleId="SideHeading">
    <w:name w:val="Side Heading"/>
    <w:basedOn w:val="HeadingBase"/>
    <w:rsid w:val="00B064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643B"/>
    <w:pPr>
      <w:numPr>
        <w:numId w:val="10"/>
      </w:numPr>
    </w:pPr>
  </w:style>
  <w:style w:type="paragraph" w:styleId="PlainText">
    <w:name w:val="Plain Text"/>
    <w:basedOn w:val="Normal"/>
    <w:link w:val="PlainTextChar"/>
    <w:rsid w:val="00B0643B"/>
    <w:rPr>
      <w:sz w:val="20"/>
    </w:rPr>
  </w:style>
  <w:style w:type="character" w:customStyle="1" w:styleId="PlainTextChar">
    <w:name w:val="Plain Text Char"/>
    <w:basedOn w:val="DefaultParagraphFont"/>
    <w:link w:val="PlainText"/>
    <w:rsid w:val="00B0643B"/>
    <w:rPr>
      <w:rFonts w:ascii="Courier New" w:eastAsia="Times New Roman" w:hAnsi="Courier New" w:cs="Times New Roman"/>
      <w:sz w:val="20"/>
      <w:szCs w:val="20"/>
      <w:lang w:eastAsia="en-US"/>
    </w:rPr>
  </w:style>
  <w:style w:type="character" w:customStyle="1" w:styleId="MenuOption">
    <w:name w:val="Menu Option"/>
    <w:basedOn w:val="DefaultParagraphFont"/>
    <w:rsid w:val="00B0643B"/>
    <w:rPr>
      <w:b/>
      <w:smallCaps/>
    </w:rPr>
  </w:style>
  <w:style w:type="paragraph" w:customStyle="1" w:styleId="TableListNumber">
    <w:name w:val="Table List Number"/>
    <w:basedOn w:val="ListNumber"/>
    <w:rsid w:val="00B0643B"/>
    <w:pPr>
      <w:numPr>
        <w:numId w:val="0"/>
      </w:numPr>
    </w:pPr>
  </w:style>
  <w:style w:type="paragraph" w:styleId="TOC4">
    <w:name w:val="toc 4"/>
    <w:basedOn w:val="TOCBase"/>
    <w:next w:val="Normal"/>
    <w:semiHidden/>
    <w:rsid w:val="00B0643B"/>
    <w:pPr>
      <w:tabs>
        <w:tab w:val="right" w:leader="dot" w:pos="9071"/>
      </w:tabs>
      <w:ind w:left="1701"/>
    </w:pPr>
  </w:style>
  <w:style w:type="paragraph" w:customStyle="1" w:styleId="ListAlpha">
    <w:name w:val="List Alpha"/>
    <w:basedOn w:val="List"/>
    <w:rsid w:val="00B0643B"/>
    <w:pPr>
      <w:numPr>
        <w:numId w:val="8"/>
      </w:numPr>
    </w:pPr>
  </w:style>
  <w:style w:type="paragraph" w:customStyle="1" w:styleId="ListAlpha2">
    <w:name w:val="List Alpha 2"/>
    <w:basedOn w:val="List2"/>
    <w:rsid w:val="00B0643B"/>
    <w:pPr>
      <w:numPr>
        <w:numId w:val="7"/>
      </w:numPr>
    </w:pPr>
  </w:style>
  <w:style w:type="paragraph" w:styleId="List2">
    <w:name w:val="List 2"/>
    <w:basedOn w:val="BodyText"/>
    <w:rsid w:val="00B0643B"/>
    <w:pPr>
      <w:tabs>
        <w:tab w:val="left" w:pos="680"/>
      </w:tabs>
      <w:spacing w:before="60" w:after="60"/>
      <w:ind w:left="680" w:hanging="340"/>
    </w:pPr>
  </w:style>
  <w:style w:type="paragraph" w:styleId="List3">
    <w:name w:val="List 3"/>
    <w:basedOn w:val="BodyText"/>
    <w:rsid w:val="00B0643B"/>
    <w:pPr>
      <w:tabs>
        <w:tab w:val="left" w:pos="1021"/>
      </w:tabs>
      <w:spacing w:before="60" w:after="60"/>
      <w:ind w:left="1020" w:hanging="340"/>
    </w:pPr>
  </w:style>
  <w:style w:type="paragraph" w:styleId="List4">
    <w:name w:val="List 4"/>
    <w:basedOn w:val="BodyText"/>
    <w:rsid w:val="00B0643B"/>
    <w:pPr>
      <w:tabs>
        <w:tab w:val="left" w:pos="1361"/>
      </w:tabs>
      <w:spacing w:before="60" w:after="60"/>
      <w:ind w:left="1361" w:hanging="340"/>
    </w:pPr>
  </w:style>
  <w:style w:type="paragraph" w:styleId="List5">
    <w:name w:val="List 5"/>
    <w:basedOn w:val="BodyText"/>
    <w:rsid w:val="00B0643B"/>
    <w:pPr>
      <w:tabs>
        <w:tab w:val="left" w:pos="1701"/>
      </w:tabs>
      <w:spacing w:before="60" w:after="60"/>
      <w:ind w:left="1701" w:hanging="340"/>
    </w:pPr>
  </w:style>
  <w:style w:type="paragraph" w:styleId="ListBullet3">
    <w:name w:val="List Bullet 3"/>
    <w:basedOn w:val="List3"/>
    <w:rsid w:val="00B0643B"/>
    <w:pPr>
      <w:numPr>
        <w:numId w:val="13"/>
      </w:numPr>
      <w:tabs>
        <w:tab w:val="clear" w:pos="1021"/>
      </w:tabs>
      <w:ind w:left="1037" w:hanging="357"/>
    </w:pPr>
  </w:style>
  <w:style w:type="paragraph" w:styleId="ListBullet4">
    <w:name w:val="List Bullet 4"/>
    <w:basedOn w:val="List4"/>
    <w:rsid w:val="00B0643B"/>
    <w:pPr>
      <w:numPr>
        <w:numId w:val="2"/>
      </w:numPr>
      <w:tabs>
        <w:tab w:val="clear" w:pos="1361"/>
      </w:tabs>
    </w:pPr>
  </w:style>
  <w:style w:type="paragraph" w:styleId="ListBullet5">
    <w:name w:val="List Bullet 5"/>
    <w:basedOn w:val="List5"/>
    <w:rsid w:val="00B0643B"/>
    <w:pPr>
      <w:numPr>
        <w:numId w:val="3"/>
      </w:numPr>
    </w:pPr>
  </w:style>
  <w:style w:type="paragraph" w:styleId="ListContinue2">
    <w:name w:val="List Continue 2"/>
    <w:basedOn w:val="List2"/>
    <w:rsid w:val="00B0643B"/>
    <w:pPr>
      <w:ind w:firstLine="0"/>
    </w:pPr>
  </w:style>
  <w:style w:type="paragraph" w:styleId="ListContinue3">
    <w:name w:val="List Continue 3"/>
    <w:basedOn w:val="List3"/>
    <w:rsid w:val="00B0643B"/>
    <w:pPr>
      <w:ind w:left="1021" w:firstLine="0"/>
    </w:pPr>
  </w:style>
  <w:style w:type="paragraph" w:styleId="ListContinue4">
    <w:name w:val="List Continue 4"/>
    <w:basedOn w:val="List4"/>
    <w:rsid w:val="00B0643B"/>
    <w:pPr>
      <w:ind w:firstLine="0"/>
    </w:pPr>
  </w:style>
  <w:style w:type="paragraph" w:styleId="ListContinue5">
    <w:name w:val="List Continue 5"/>
    <w:basedOn w:val="List5"/>
    <w:rsid w:val="00B0643B"/>
    <w:pPr>
      <w:ind w:firstLine="0"/>
    </w:pPr>
  </w:style>
  <w:style w:type="paragraph" w:styleId="ListNumber3">
    <w:name w:val="List Number 3"/>
    <w:basedOn w:val="List3"/>
    <w:rsid w:val="00B0643B"/>
    <w:pPr>
      <w:numPr>
        <w:numId w:val="4"/>
      </w:numPr>
    </w:pPr>
  </w:style>
  <w:style w:type="paragraph" w:styleId="ListNumber4">
    <w:name w:val="List Number 4"/>
    <w:basedOn w:val="List4"/>
    <w:rsid w:val="00B0643B"/>
    <w:pPr>
      <w:numPr>
        <w:numId w:val="5"/>
      </w:numPr>
    </w:pPr>
  </w:style>
  <w:style w:type="paragraph" w:styleId="ListNumber5">
    <w:name w:val="List Number 5"/>
    <w:basedOn w:val="List5"/>
    <w:rsid w:val="00B0643B"/>
    <w:pPr>
      <w:numPr>
        <w:numId w:val="6"/>
      </w:numPr>
    </w:pPr>
  </w:style>
  <w:style w:type="paragraph" w:styleId="BlockText">
    <w:name w:val="Block Text"/>
    <w:basedOn w:val="Normal"/>
    <w:rsid w:val="00B0643B"/>
    <w:pPr>
      <w:spacing w:after="120"/>
      <w:ind w:left="1440" w:right="1440"/>
    </w:pPr>
  </w:style>
  <w:style w:type="character" w:customStyle="1" w:styleId="Subscript">
    <w:name w:val="Subscript"/>
    <w:basedOn w:val="DefaultParagraphFont"/>
    <w:rsid w:val="00B0643B"/>
    <w:rPr>
      <w:sz w:val="16"/>
      <w:vertAlign w:val="subscript"/>
    </w:rPr>
  </w:style>
  <w:style w:type="character" w:customStyle="1" w:styleId="Superscript">
    <w:name w:val="Superscript"/>
    <w:basedOn w:val="DefaultParagraphFont"/>
    <w:rsid w:val="00B0643B"/>
    <w:rPr>
      <w:sz w:val="16"/>
      <w:vertAlign w:val="superscript"/>
    </w:rPr>
  </w:style>
  <w:style w:type="character" w:customStyle="1" w:styleId="Symbols">
    <w:name w:val="Symbols"/>
    <w:basedOn w:val="DefaultParagraphFont"/>
    <w:rsid w:val="00B0643B"/>
    <w:rPr>
      <w:rFonts w:ascii="Symbol" w:hAnsi="Symbol"/>
    </w:rPr>
  </w:style>
  <w:style w:type="character" w:customStyle="1" w:styleId="MenuOptions">
    <w:name w:val="Menu Options"/>
    <w:basedOn w:val="DefaultParagraphFont"/>
    <w:rsid w:val="00B0643B"/>
    <w:rPr>
      <w:rFonts w:ascii="Arial Narrow" w:hAnsi="Arial Narrow"/>
      <w:smallCaps/>
    </w:rPr>
  </w:style>
  <w:style w:type="character" w:customStyle="1" w:styleId="Buttons">
    <w:name w:val="Buttons"/>
    <w:basedOn w:val="DefaultParagraphFont"/>
    <w:rsid w:val="00B0643B"/>
    <w:rPr>
      <w:b/>
    </w:rPr>
  </w:style>
  <w:style w:type="character" w:customStyle="1" w:styleId="Underlined">
    <w:name w:val="Underlined"/>
    <w:basedOn w:val="DefaultParagraphFont"/>
    <w:rsid w:val="00B0643B"/>
    <w:rPr>
      <w:u w:val="single"/>
    </w:rPr>
  </w:style>
  <w:style w:type="paragraph" w:customStyle="1" w:styleId="TableBodyTextRight">
    <w:name w:val="Table Body Text Right"/>
    <w:basedOn w:val="TableBodyText"/>
    <w:rsid w:val="00B0643B"/>
    <w:pPr>
      <w:widowControl w:val="0"/>
      <w:autoSpaceDE w:val="0"/>
      <w:autoSpaceDN w:val="0"/>
      <w:adjustRightInd w:val="0"/>
      <w:jc w:val="right"/>
    </w:pPr>
    <w:rPr>
      <w:rFonts w:cs="Arial"/>
      <w:szCs w:val="18"/>
    </w:rPr>
  </w:style>
  <w:style w:type="paragraph" w:customStyle="1" w:styleId="CopyrightText">
    <w:name w:val="Copyright Text"/>
    <w:basedOn w:val="BodyText"/>
    <w:rsid w:val="00B0643B"/>
    <w:rPr>
      <w:sz w:val="18"/>
    </w:rPr>
  </w:style>
  <w:style w:type="paragraph" w:customStyle="1" w:styleId="BodySmallRight">
    <w:name w:val="Body Small Right"/>
    <w:basedOn w:val="BodyTextRight"/>
    <w:rsid w:val="00B0643B"/>
    <w:rPr>
      <w:sz w:val="18"/>
      <w:szCs w:val="18"/>
    </w:rPr>
  </w:style>
  <w:style w:type="paragraph" w:customStyle="1" w:styleId="MarginEdition">
    <w:name w:val="Margin Edition"/>
    <w:basedOn w:val="MarginNote"/>
    <w:rsid w:val="00B0643B"/>
    <w:pPr>
      <w:spacing w:before="0" w:after="0"/>
    </w:pPr>
    <w:rPr>
      <w:rFonts w:ascii="Times New Roman" w:hAnsi="Times New Roman"/>
      <w:color w:val="999999"/>
    </w:rPr>
  </w:style>
  <w:style w:type="paragraph" w:customStyle="1" w:styleId="Spacer">
    <w:name w:val="Spacer"/>
    <w:basedOn w:val="Normal"/>
    <w:rsid w:val="00B0643B"/>
    <w:rPr>
      <w:sz w:val="2"/>
      <w:szCs w:val="2"/>
    </w:rPr>
  </w:style>
  <w:style w:type="character" w:customStyle="1" w:styleId="Small">
    <w:name w:val="Small"/>
    <w:basedOn w:val="DefaultParagraphFont"/>
    <w:rsid w:val="00B0643B"/>
    <w:rPr>
      <w:sz w:val="16"/>
    </w:rPr>
  </w:style>
  <w:style w:type="paragraph" w:customStyle="1" w:styleId="WideTable">
    <w:name w:val="Wide Table"/>
    <w:basedOn w:val="Normal"/>
    <w:rsid w:val="00B0643B"/>
    <w:pPr>
      <w:ind w:left="-1418"/>
    </w:pPr>
    <w:rPr>
      <w:sz w:val="2"/>
      <w:szCs w:val="2"/>
    </w:rPr>
  </w:style>
  <w:style w:type="character" w:styleId="PageNumber">
    <w:name w:val="page number"/>
    <w:basedOn w:val="DefaultParagraphFont"/>
    <w:rsid w:val="00B0643B"/>
  </w:style>
  <w:style w:type="paragraph" w:styleId="Quote">
    <w:name w:val="Quote"/>
    <w:basedOn w:val="Heading1"/>
    <w:link w:val="QuoteChar"/>
    <w:qFormat/>
    <w:rsid w:val="00B0643B"/>
    <w:rPr>
      <w:b w:val="0"/>
      <w:sz w:val="72"/>
      <w:szCs w:val="72"/>
      <w:lang w:val="en-NZ"/>
    </w:rPr>
  </w:style>
  <w:style w:type="character" w:customStyle="1" w:styleId="QuoteChar">
    <w:name w:val="Quote Char"/>
    <w:basedOn w:val="DefaultParagraphFont"/>
    <w:link w:val="Quote"/>
    <w:rsid w:val="00B064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643B"/>
    <w:pPr>
      <w:pageBreakBefore/>
    </w:pPr>
  </w:style>
  <w:style w:type="paragraph" w:customStyle="1" w:styleId="Border">
    <w:name w:val="Border"/>
    <w:basedOn w:val="Normal"/>
    <w:qFormat/>
    <w:rsid w:val="00B064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643B"/>
    <w:rPr>
      <w:b/>
      <w:bCs/>
      <w:i/>
      <w:iCs/>
      <w:color w:val="auto"/>
    </w:rPr>
  </w:style>
  <w:style w:type="paragraph" w:styleId="IntenseQuote">
    <w:name w:val="Intense Quote"/>
    <w:basedOn w:val="Normal"/>
    <w:next w:val="Normal"/>
    <w:link w:val="IntenseQuoteChar"/>
    <w:uiPriority w:val="30"/>
    <w:qFormat/>
    <w:rsid w:val="00B064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64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643B"/>
    <w:rPr>
      <w:smallCaps/>
      <w:color w:val="auto"/>
      <w:u w:val="single"/>
    </w:rPr>
  </w:style>
  <w:style w:type="character" w:styleId="IntenseReference">
    <w:name w:val="Intense Reference"/>
    <w:basedOn w:val="DefaultParagraphFont"/>
    <w:uiPriority w:val="32"/>
    <w:qFormat/>
    <w:rsid w:val="00B0643B"/>
    <w:rPr>
      <w:b/>
      <w:bCs/>
      <w:smallCaps/>
      <w:color w:val="auto"/>
      <w:spacing w:val="5"/>
      <w:u w:val="single"/>
    </w:rPr>
  </w:style>
  <w:style w:type="paragraph" w:customStyle="1" w:styleId="2ColumnHeading">
    <w:name w:val="2Column Heading"/>
    <w:basedOn w:val="BodyText"/>
    <w:qFormat/>
    <w:rsid w:val="00B0643B"/>
    <w:pPr>
      <w:spacing w:after="60"/>
      <w:ind w:left="-2268"/>
    </w:pPr>
    <w:rPr>
      <w:b/>
    </w:rPr>
  </w:style>
  <w:style w:type="paragraph" w:customStyle="1" w:styleId="Heading1TOC">
    <w:name w:val="Heading1 TOC"/>
    <w:basedOn w:val="Normal"/>
    <w:qFormat/>
    <w:rsid w:val="00B0643B"/>
    <w:pPr>
      <w:spacing w:before="240" w:after="120"/>
    </w:pPr>
    <w:rPr>
      <w:rFonts w:ascii="Times New Roman" w:hAnsi="Times New Roman"/>
      <w:b/>
      <w:sz w:val="32"/>
    </w:rPr>
  </w:style>
  <w:style w:type="paragraph" w:customStyle="1" w:styleId="Heading2TOC">
    <w:name w:val="Heading2 TOC"/>
    <w:basedOn w:val="Normal"/>
    <w:qFormat/>
    <w:rsid w:val="00B0643B"/>
    <w:pPr>
      <w:spacing w:before="240" w:after="60"/>
    </w:pPr>
    <w:rPr>
      <w:rFonts w:ascii="Times New Roman" w:hAnsi="Times New Roman"/>
      <w:b/>
      <w:sz w:val="28"/>
    </w:rPr>
  </w:style>
  <w:style w:type="character" w:customStyle="1" w:styleId="Underline">
    <w:name w:val="Underline"/>
    <w:basedOn w:val="DefaultParagraphFont"/>
    <w:qFormat/>
    <w:rsid w:val="00B0643B"/>
    <w:rPr>
      <w:u w:val="single"/>
    </w:rPr>
  </w:style>
  <w:style w:type="character" w:customStyle="1" w:styleId="BoldandItalics">
    <w:name w:val="Bold and Italics"/>
    <w:qFormat/>
    <w:rsid w:val="00B0643B"/>
    <w:rPr>
      <w:b/>
      <w:i/>
      <w:u w:val="none"/>
    </w:rPr>
  </w:style>
  <w:style w:type="paragraph" w:styleId="BalloonText">
    <w:name w:val="Balloon Text"/>
    <w:basedOn w:val="Normal"/>
    <w:link w:val="BalloonTextChar"/>
    <w:rsid w:val="00B0643B"/>
    <w:rPr>
      <w:rFonts w:ascii="Tahoma" w:hAnsi="Tahoma" w:cs="Tahoma"/>
      <w:sz w:val="16"/>
      <w:szCs w:val="16"/>
    </w:rPr>
  </w:style>
  <w:style w:type="character" w:customStyle="1" w:styleId="BalloonTextChar">
    <w:name w:val="Balloon Text Char"/>
    <w:basedOn w:val="DefaultParagraphFont"/>
    <w:link w:val="BalloonText"/>
    <w:rsid w:val="00B064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64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64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643B"/>
    <w:rPr>
      <w:b/>
      <w:color w:val="660033"/>
      <w:spacing w:val="0"/>
    </w:rPr>
  </w:style>
  <w:style w:type="paragraph" w:customStyle="1" w:styleId="Nameditemlist">
    <w:name w:val="Named item list"/>
    <w:basedOn w:val="BodyText"/>
    <w:qFormat/>
    <w:rsid w:val="00B0643B"/>
    <w:pPr>
      <w:tabs>
        <w:tab w:val="left" w:pos="2835"/>
      </w:tabs>
      <w:ind w:left="2835" w:hanging="2835"/>
    </w:pPr>
  </w:style>
  <w:style w:type="paragraph" w:customStyle="1" w:styleId="BodyTextnopadding">
    <w:name w:val="Body Text no padding"/>
    <w:basedOn w:val="BodyText"/>
    <w:qFormat/>
    <w:rsid w:val="00B0643B"/>
    <w:pPr>
      <w:spacing w:before="0" w:after="0"/>
    </w:pPr>
  </w:style>
  <w:style w:type="paragraph" w:customStyle="1" w:styleId="BodyTextBold">
    <w:name w:val="Body Text Bold"/>
    <w:basedOn w:val="BodyText"/>
    <w:qFormat/>
    <w:rsid w:val="00B0643B"/>
    <w:rPr>
      <w:b/>
    </w:rPr>
  </w:style>
  <w:style w:type="character" w:styleId="Hyperlink">
    <w:name w:val="Hyperlink"/>
    <w:basedOn w:val="DefaultParagraphFont"/>
    <w:uiPriority w:val="99"/>
    <w:unhideWhenUsed/>
    <w:rsid w:val="000730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680</Words>
  <Characters>4734</Characters>
  <Application>Microsoft Office Word</Application>
  <DocSecurity>0</DocSecurity>
  <Lines>225</Lines>
  <Paragraphs>132</Paragraphs>
  <ScaleCrop>false</ScaleCrop>
  <Company>Author-it Software Corporation Ltd.</Company>
  <LinksUpToDate>false</LinksUpToDate>
  <CharactersWithSpaces>5282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MEM18087 Service and repair domestic and light commercial refrigeration and air conditioning equipment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2023-02-03T06:59:00Z</dcterms:created>
  <dcterms:modified xsi:type="dcterms:W3CDTF">2023-02-03T06:59:00Z</dcterms:modified>
</cp:coreProperties>
</file>