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7DE" w:rsidP="005477DE">
      <w:pPr>
        <w:pStyle w:val="Title"/>
      </w:pPr>
      <w:r>
        <w:fldChar w:fldCharType="begin"/>
      </w:r>
      <w:r>
        <w:instrText xml:space="preserve"> TITLE   \* MERGEFORMAT </w:instrText>
      </w:r>
      <w:r>
        <w:fldChar w:fldCharType="separate"/>
      </w:r>
      <w:r>
        <w:t>MEM18085 Install, service and repair domestic air conditioning and refrigeration appliances</w:t>
      </w:r>
      <w:r>
        <w:fldChar w:fldCharType="end"/>
      </w:r>
    </w:p>
    <w:p w:rsidR="005477DE" w:rsidP="005477DE">
      <w:pPr>
        <w:pStyle w:val="Version"/>
        <w:sectPr w:rsidSect="002764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4F2" w:rsidP="002764F2">
      <w:pPr>
        <w:pStyle w:val="SuperHeading"/>
      </w:pPr>
      <w:r w:rsidRPr="002764F2">
        <w:t>MEM18085 Install, service and repair domestic air conditioning and refrigeration appliances</w:t>
      </w:r>
    </w:p>
    <w:p w:rsidR="00000000" w:rsidRPr="002764F2" w:rsidP="002764F2">
      <w:pPr>
        <w:pStyle w:val="Heading1"/>
      </w:pPr>
      <w:bookmarkStart w:id="1" w:name="O_941655"/>
      <w:bookmarkEnd w:id="1"/>
      <w:r w:rsidRPr="002764F2">
        <w:t>Modification History</w:t>
      </w:r>
    </w:p>
    <w:p w:rsidR="00000000" w:rsidRPr="002764F2" w:rsidP="005477DE">
      <w:pPr>
        <w:pStyle w:val="BodyText"/>
      </w:pPr>
      <w:r w:rsidRPr="002764F2">
        <w:t xml:space="preserve">Release 1. </w:t>
      </w:r>
      <w:r w:rsidRPr="002764F2">
        <w:t>Supersedes and is equivalent to MEM18085A Install, service and repair domestic air conditioning and refrigeration appliances</w:t>
      </w:r>
    </w:p>
    <w:p w:rsidR="00000000" w:rsidRPr="002764F2" w:rsidP="002764F2">
      <w:pPr>
        <w:pStyle w:val="Heading1"/>
      </w:pPr>
      <w:bookmarkStart w:id="2" w:name="O_941663"/>
      <w:bookmarkEnd w:id="2"/>
      <w:r w:rsidRPr="002764F2">
        <w:t>Application</w:t>
      </w:r>
    </w:p>
    <w:p w:rsidR="00000000" w:rsidRPr="002764F2" w:rsidP="005477DE">
      <w:pPr>
        <w:pStyle w:val="BodyText"/>
      </w:pPr>
      <w:r w:rsidRPr="002764F2">
        <w:t>This unit of competency defines the skills and knowledge required to install, service and repair domes</w:t>
      </w:r>
      <w:r w:rsidRPr="002764F2">
        <w:t>tic air conditioning and refrigeration appliances to relevant standards, codes and local regulations and is limited to domestic air conditioning and refrigeration systems only.</w:t>
      </w:r>
    </w:p>
    <w:p w:rsidR="00000000" w:rsidRPr="002764F2" w:rsidP="005477DE">
      <w:pPr>
        <w:pStyle w:val="BodyText"/>
      </w:pPr>
      <w:r w:rsidRPr="002764F2">
        <w:t>It includes the application of safe working practices, following standard proc</w:t>
      </w:r>
      <w:r w:rsidRPr="002764F2">
        <w:t>edures to perform functional checks, test system performance and carry out straightforward maintenance.</w:t>
      </w:r>
    </w:p>
    <w:p w:rsidR="00000000" w:rsidRPr="002764F2" w:rsidP="005477DE">
      <w:pPr>
        <w:pStyle w:val="BodyText"/>
      </w:pPr>
      <w:r w:rsidRPr="002764F2">
        <w:t xml:space="preserve">This unit refers to plug-in appliances only. </w:t>
      </w:r>
    </w:p>
    <w:p w:rsidR="00000000" w:rsidRPr="002764F2" w:rsidP="005477DE">
      <w:pPr>
        <w:pStyle w:val="BodyText"/>
      </w:pPr>
      <w:r w:rsidRPr="002764F2">
        <w:t xml:space="preserve">Where interpretation of technical drawings is required unit MEM09002 Interpret technical drawing should </w:t>
      </w:r>
      <w:r w:rsidRPr="002764F2">
        <w:t>also be selected.</w:t>
      </w:r>
    </w:p>
    <w:p w:rsidR="00000000" w:rsidRPr="002764F2" w:rsidP="005477DE">
      <w:pPr>
        <w:pStyle w:val="BodyText"/>
      </w:pPr>
      <w:r w:rsidRPr="002764F2">
        <w:t xml:space="preserve">A Refrigerant Handling Licence must be held by any person who carries out work in relation to refrigeration and air conditioning equipment. </w:t>
      </w:r>
    </w:p>
    <w:p w:rsidR="00000000" w:rsidRPr="002764F2" w:rsidP="002764F2">
      <w:pPr>
        <w:pStyle w:val="BodyText"/>
      </w:pPr>
      <w:r w:rsidRPr="002764F2">
        <w:rPr>
          <w:rStyle w:val="SpecialBold"/>
        </w:rPr>
        <w:t>Band</w:t>
      </w:r>
      <w:r w:rsidRPr="002764F2">
        <w:t>:</w:t>
      </w:r>
      <w:r w:rsidRPr="002764F2">
        <w:tab/>
      </w:r>
      <w:r w:rsidRPr="002764F2">
        <w:rPr>
          <w:rStyle w:val="SpecialBold"/>
        </w:rPr>
        <w:t>A</w:t>
      </w:r>
    </w:p>
    <w:p w:rsidR="00000000" w:rsidRPr="002764F2" w:rsidP="002764F2">
      <w:pPr>
        <w:pStyle w:val="BodyText"/>
      </w:pPr>
      <w:r w:rsidRPr="002764F2">
        <w:rPr>
          <w:rStyle w:val="SpecialBold"/>
        </w:rPr>
        <w:t>Unit Weight</w:t>
      </w:r>
      <w:r w:rsidRPr="002764F2">
        <w:t>:</w:t>
      </w:r>
      <w:r w:rsidRPr="002764F2">
        <w:tab/>
      </w:r>
      <w:r w:rsidRPr="002764F2">
        <w:rPr>
          <w:rStyle w:val="SpecialBold"/>
        </w:rPr>
        <w:t>6</w:t>
      </w:r>
    </w:p>
    <w:p w:rsidR="00000000" w:rsidRPr="002764F2" w:rsidP="002764F2">
      <w:pPr>
        <w:pStyle w:val="AllowPageBreak"/>
      </w:pPr>
    </w:p>
    <w:p w:rsidR="00000000" w:rsidRPr="002764F2" w:rsidP="002764F2">
      <w:pPr>
        <w:pStyle w:val="Heading1"/>
      </w:pPr>
      <w:bookmarkStart w:id="3" w:name="O_941662"/>
      <w:bookmarkEnd w:id="3"/>
      <w:r w:rsidRPr="002764F2">
        <w:t>Pre-requisite Unit</w:t>
      </w:r>
    </w:p>
    <w:tbl>
      <w:tblPr>
        <w:tblW w:w="0" w:type="auto"/>
        <w:tblLayout w:type="fixed"/>
        <w:tblCellMar>
          <w:left w:w="62" w:type="dxa"/>
          <w:right w:w="62" w:type="dxa"/>
        </w:tblCellMar>
        <w:tblLook w:val="0000"/>
      </w:tblPr>
      <w:tblGrid>
        <w:gridCol w:w="2204"/>
        <w:gridCol w:w="6360"/>
      </w:tblGrid>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MEM05006</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 brazing and/or silv</w:t>
            </w:r>
            <w:r w:rsidRPr="002764F2">
              <w:t>er soldering</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MEM11011</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Undertake manual handling</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MEM12002</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 electrical/electronic measurement</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MEM12023</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 engineering measurements</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MEM12024</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 computations</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MEM13015</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Work safely and effectively in manufacturing and engineering</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MEM16006</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Organise and communicate information</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MEM18001</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Use hand tools</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MEM18002</w:t>
            </w:r>
          </w:p>
        </w:tc>
        <w:tc>
          <w:tcPr>
            <w:tcW w:w="63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Use power tools/hand held operations</w:t>
            </w:r>
          </w:p>
        </w:tc>
      </w:tr>
      <w:tr w:rsidTr="002764F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MEM18055</w:t>
            </w:r>
          </w:p>
        </w:tc>
        <w:tc>
          <w:tcPr>
            <w:tcW w:w="6360"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Dismantle, replace and assemble engineering components</w:t>
            </w:r>
          </w:p>
        </w:tc>
      </w:tr>
    </w:tbl>
    <w:p w:rsidR="00000000" w:rsidRPr="002764F2" w:rsidP="002764F2">
      <w:pPr>
        <w:pStyle w:val="BodyText"/>
      </w:pPr>
    </w:p>
    <w:p w:rsidR="00000000" w:rsidRPr="002764F2" w:rsidP="002764F2">
      <w:pPr>
        <w:pStyle w:val="AllowPageBreak"/>
      </w:pPr>
    </w:p>
    <w:p w:rsidR="00000000" w:rsidRPr="002764F2" w:rsidP="002764F2">
      <w:pPr>
        <w:pStyle w:val="Heading1"/>
      </w:pPr>
      <w:bookmarkStart w:id="4" w:name="O_941661"/>
      <w:bookmarkEnd w:id="4"/>
      <w:r w:rsidRPr="002764F2">
        <w:t>Competency Field</w:t>
      </w:r>
    </w:p>
    <w:p w:rsidR="00000000" w:rsidRPr="002764F2" w:rsidP="005477DE">
      <w:pPr>
        <w:pStyle w:val="BodyText"/>
      </w:pPr>
      <w:r w:rsidRPr="002764F2">
        <w:t>Maintenance and diagnostics</w:t>
      </w:r>
    </w:p>
    <w:p w:rsidR="00000000" w:rsidRPr="002764F2" w:rsidP="002764F2">
      <w:pPr>
        <w:pStyle w:val="Heading1"/>
      </w:pPr>
      <w:bookmarkStart w:id="5" w:name="O_941659"/>
      <w:bookmarkEnd w:id="5"/>
      <w:r w:rsidRPr="002764F2">
        <w:t>Elements and Performance Criteria</w:t>
      </w:r>
    </w:p>
    <w:tbl>
      <w:tblPr>
        <w:tblW w:w="0" w:type="auto"/>
        <w:tblLayout w:type="fixed"/>
        <w:tblCellMar>
          <w:left w:w="62" w:type="dxa"/>
          <w:right w:w="62" w:type="dxa"/>
        </w:tblCellMar>
        <w:tblLook w:val="0000"/>
      </w:tblPr>
      <w:tblGrid>
        <w:gridCol w:w="683"/>
        <w:gridCol w:w="1974"/>
        <w:gridCol w:w="764"/>
        <w:gridCol w:w="5652"/>
      </w:tblGrid>
      <w:tr w:rsidTr="002764F2">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Performance criteria describe the performance needed to demonstrate achievement of the element.</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1</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Determine job requirements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1.1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Follow standard operating procedures (SOPs)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1.2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Comply with work health and safety (WHS) requirements at all times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1.3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Use appropriate personal protective equipment (PPE) in accordance with SOPs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1.4</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Identify job requirements from specifications, job sheets or work instructions</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2</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Install and remove domestic refrigeration and air conditioning appliances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2.1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Identify appliance location and site in accordance with customer requirements, regulations, standards, codes of practice and industry guidelines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2.2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Prepare site and install and secure appliance in accordance with manufacturer instructions and industry best practice</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2.3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Check operation of the appliance in accordance with manufacturer instructions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2.4</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Dispose of waste materials and products in accordance with Commonwealth and state/territory legislation, environmental and industry codes of practice</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3</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Determine operating condition of appliances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3.1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Identify refrigerant used in equipment and protect</w:t>
            </w:r>
            <w:r w:rsidRPr="002764F2">
              <w:t xml:space="preserve"> from ignition sources if refrigerant is flammable</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3.2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Carry out established procedures and standard electrical tests to determine actual operating condition</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3.3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Follow established work health an</w:t>
            </w:r>
            <w:r w:rsidRPr="002764F2">
              <w:t>d safety (WHS) risk control measures and procedures to enable the system to be isolated and checked, where necessary</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3.4</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Determine the basic refrigeration operating conditions and check for correct operation and safety using appropriate tools, equipment</w:t>
            </w:r>
            <w:r w:rsidRPr="002764F2">
              <w:t xml:space="preserve"> and testing devices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3.5</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Follow industry codes of practice and manufacturer service instructions</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4</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Carry out routine maintenance</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4.1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Identify safety hazards and record and implement established risk control measures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4.2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Perform routine maintenance procedure in accordance with manufacturer and client scheduling</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4.3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 xml:space="preserve">Maintain routine maintenance records and record faults </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5</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Fault find and troubleshoot faults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5.1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Select equipment and testing devices needed to determine fault</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5.2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Apply standard test procedures to determine faults against equipment specifications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5.3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Record test data and record faults, as required</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6</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Replace, repair or service faulty components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6.1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Disconnect plug in appliance electrically</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6.2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 xml:space="preserve">Replace electrical components in accordance with manufacturer recommendations </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6.3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Select and prepare refrigeration system replacement components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6.4</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Recover refrigerant, store and dispose of in accordance with Commonwealth and state/territory legislation and industry codes of practice</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6.5</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Install refrigeration system components in accordance with industry best practice, standards and codes</w:t>
            </w:r>
          </w:p>
        </w:tc>
      </w:tr>
      <w:tr w:rsidTr="002764F2">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764F2">
            <w:pPr>
              <w:pStyle w:val="BodyText"/>
              <w:rPr>
                <w:lang w:val="en-NZ"/>
              </w:rPr>
            </w:pP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7</w:t>
            </w:r>
          </w:p>
        </w:tc>
        <w:tc>
          <w:tcPr>
            <w:tcW w:w="1974" w:type="dxa"/>
            <w:vMerge w:val="restart"/>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Return to service domestic refrigeration and air conditioning appliances</w:t>
            </w: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7.1</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Identify standard electrical tests to identify electrical faults before operating</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7.2</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Start appliance and operate in accordance with manufacturer standards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7.3</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Carry out standard tests to confirm system performance to manufacturer specifications</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7.4</w:t>
            </w:r>
          </w:p>
        </w:tc>
        <w:tc>
          <w:tcPr>
            <w:tcW w:w="5652"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Record appliance operating data, as required</w:t>
            </w:r>
          </w:p>
        </w:tc>
      </w:tr>
      <w:tr w:rsidTr="002764F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7.5</w:t>
            </w:r>
          </w:p>
        </w:tc>
        <w:tc>
          <w:tcPr>
            <w:tcW w:w="5652" w:type="dxa"/>
            <w:tcBorders>
              <w:top w:val="nil"/>
              <w:left w:val="nil"/>
              <w:bottom w:val="nil"/>
              <w:right w:val="nil"/>
            </w:tcBorders>
            <w:tcMar>
              <w:top w:w="0" w:type="dxa"/>
              <w:left w:w="62" w:type="dxa"/>
              <w:bottom w:w="0" w:type="dxa"/>
              <w:right w:w="62" w:type="dxa"/>
            </w:tcMar>
          </w:tcPr>
          <w:p w:rsidR="00000000" w:rsidRPr="002764F2" w:rsidP="002764F2">
            <w:pPr>
              <w:pStyle w:val="BodyText"/>
            </w:pPr>
            <w:r w:rsidRPr="002764F2">
              <w:t>Ensure worksite is cleaned and left in presentable condition in accordance with original presentation, client requirements, industry standards and organisational requirements</w:t>
            </w:r>
          </w:p>
        </w:tc>
      </w:tr>
    </w:tbl>
    <w:p w:rsidR="00000000" w:rsidRPr="002764F2" w:rsidP="002764F2">
      <w:pPr>
        <w:pStyle w:val="BodyText"/>
      </w:pPr>
    </w:p>
    <w:p w:rsidR="00000000" w:rsidRPr="002764F2" w:rsidP="002764F2">
      <w:pPr>
        <w:pStyle w:val="AllowPageBreak"/>
      </w:pPr>
    </w:p>
    <w:p w:rsidR="00000000" w:rsidRPr="002764F2" w:rsidP="002764F2">
      <w:pPr>
        <w:pStyle w:val="Heading1"/>
      </w:pPr>
      <w:bookmarkStart w:id="6" w:name="O_941658"/>
      <w:bookmarkEnd w:id="6"/>
      <w:r w:rsidRPr="002764F2">
        <w:t>Foundation Skills</w:t>
      </w:r>
    </w:p>
    <w:p w:rsidR="00000000" w:rsidRPr="002764F2" w:rsidP="005477DE">
      <w:pPr>
        <w:pStyle w:val="BodyText"/>
      </w:pPr>
      <w:r w:rsidRPr="002764F2">
        <w:t>This section describes those required skills</w:t>
      </w:r>
      <w:r w:rsidRPr="002764F2">
        <w:t xml:space="preserve"> (reading, writing, oral communication and numeracy) that are essential to workplace performance in this unit of competency.  </w:t>
      </w:r>
    </w:p>
    <w:p w:rsidR="00000000" w:rsidRPr="002764F2" w:rsidP="005477DE">
      <w:pPr>
        <w:pStyle w:val="BodyText"/>
      </w:pPr>
      <w:r w:rsidRPr="002764F2">
        <w:t>Foundation skills essential to performance are explicit in the performance criteria of this unit of competency.</w:t>
      </w:r>
    </w:p>
    <w:p w:rsidR="00000000" w:rsidRPr="002764F2" w:rsidP="002764F2">
      <w:pPr>
        <w:pStyle w:val="Heading1"/>
      </w:pPr>
      <w:bookmarkStart w:id="7" w:name="O_941657"/>
      <w:bookmarkEnd w:id="7"/>
      <w:r w:rsidRPr="002764F2">
        <w:t>Range of Conditions</w:t>
      </w:r>
    </w:p>
    <w:tbl>
      <w:tblPr>
        <w:tblW w:w="0" w:type="auto"/>
        <w:tblLayout w:type="fixed"/>
        <w:tblCellMar>
          <w:left w:w="62" w:type="dxa"/>
          <w:right w:w="62" w:type="dxa"/>
        </w:tblCellMar>
        <w:tblLook w:val="0000"/>
      </w:tblPr>
      <w:tblGrid>
        <w:gridCol w:w="2760"/>
        <w:gridCol w:w="6382"/>
      </w:tblGrid>
      <w:tr w:rsidTr="002764F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t>This field allows for different work environments and conditions that may affect performance. Essential operating conditions that may be present (depending on the work situation, needs of the candidate, accessibility of the item, and l</w:t>
            </w:r>
            <w:r w:rsidRPr="002764F2">
              <w:t>ocal industry and regional contexts) are included.</w:t>
            </w:r>
          </w:p>
        </w:tc>
      </w:tr>
      <w:tr w:rsidTr="002764F2">
        <w:tblPrEx>
          <w:tblW w:w="0" w:type="auto"/>
          <w:tblLayout w:type="fixed"/>
          <w:tblCellMar>
            <w:left w:w="62" w:type="dxa"/>
            <w:right w:w="62" w:type="dxa"/>
          </w:tblCellMar>
          <w:tblLook w:val="0000"/>
        </w:tblPrEx>
        <w:trPr>
          <w:trHeight w:val="3158"/>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Routine maintenance includes the following:</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electrical testing of the appliance</w:t>
            </w:r>
          </w:p>
          <w:p w:rsidR="00000000" w:rsidRPr="002764F2" w:rsidP="002764F2">
            <w:pPr>
              <w:pStyle w:val="ListBullet"/>
            </w:pPr>
            <w:r w:rsidRPr="002764F2">
              <w:t>polarity testing</w:t>
            </w:r>
          </w:p>
          <w:p w:rsidR="00000000" w:rsidRPr="002764F2" w:rsidP="002764F2">
            <w:pPr>
              <w:pStyle w:val="ListBullet"/>
            </w:pPr>
            <w:r w:rsidRPr="002764F2">
              <w:t>cleaning condensers</w:t>
            </w:r>
          </w:p>
          <w:p w:rsidR="00000000" w:rsidRPr="002764F2" w:rsidP="002764F2">
            <w:pPr>
              <w:pStyle w:val="ListBullet"/>
            </w:pPr>
            <w:r w:rsidRPr="002764F2">
              <w:t>clearing drains</w:t>
            </w:r>
          </w:p>
          <w:p w:rsidR="00000000" w:rsidRPr="002764F2" w:rsidP="002764F2">
            <w:pPr>
              <w:pStyle w:val="ListBullet"/>
            </w:pPr>
            <w:r w:rsidRPr="002764F2">
              <w:t>checking temperatures</w:t>
            </w:r>
          </w:p>
          <w:p w:rsidR="00000000" w:rsidRPr="002764F2" w:rsidP="002764F2">
            <w:pPr>
              <w:pStyle w:val="ListBullet"/>
            </w:pPr>
            <w:r w:rsidRPr="002764F2">
              <w:t>pressures</w:t>
            </w:r>
          </w:p>
          <w:p w:rsidR="00000000" w:rsidRPr="002764F2" w:rsidP="002764F2">
            <w:pPr>
              <w:pStyle w:val="ListBullet"/>
            </w:pPr>
            <w:r w:rsidRPr="002764F2">
              <w:t>component operation</w:t>
            </w:r>
          </w:p>
          <w:p w:rsidR="00000000" w:rsidRPr="002764F2" w:rsidP="002764F2">
            <w:pPr>
              <w:pStyle w:val="ListBullet"/>
            </w:pPr>
            <w:r w:rsidRPr="002764F2">
              <w:t>air flow and sys</w:t>
            </w:r>
            <w:r w:rsidRPr="002764F2">
              <w:t>tem capacity</w:t>
            </w:r>
          </w:p>
          <w:p w:rsidR="00000000" w:rsidP="002764F2">
            <w:pPr>
              <w:pStyle w:val="ListBullet"/>
              <w:rPr>
                <w:lang w:val="en-NZ"/>
              </w:rPr>
            </w:pPr>
            <w:r w:rsidRPr="002764F2">
              <w:t>cleaning filters</w:t>
            </w:r>
          </w:p>
        </w:tc>
      </w:tr>
      <w:tr w:rsidTr="002764F2">
        <w:tblPrEx>
          <w:tblW w:w="0" w:type="auto"/>
          <w:tblLayout w:type="fixed"/>
          <w:tblCellMar>
            <w:left w:w="62" w:type="dxa"/>
            <w:right w:w="62" w:type="dxa"/>
          </w:tblCellMar>
          <w:tblLook w:val="0000"/>
        </w:tblPrEx>
        <w:trPr>
          <w:trHeight w:val="1864"/>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 xml:space="preserve">Standard electrical tests include: </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 xml:space="preserve">earth continuity, insulation resistance, and circuit resistance to meet electrical equipment </w:t>
            </w:r>
            <w:r w:rsidRPr="002764F2">
              <w:t>regulations and codes (AS/NZS 3000:2007 Electrical Installations (known as the Australian/New Zealand Wiring Rules)</w:t>
            </w:r>
          </w:p>
          <w:p w:rsidR="00000000" w:rsidP="002764F2">
            <w:pPr>
              <w:pStyle w:val="ListBullet"/>
              <w:rPr>
                <w:lang w:val="en-NZ"/>
              </w:rPr>
            </w:pPr>
            <w:r w:rsidRPr="002764F2">
              <w:t>testing of supply voltage and the appliance or individual component current draw</w:t>
            </w:r>
          </w:p>
        </w:tc>
      </w:tr>
      <w:tr w:rsidTr="002764F2">
        <w:tblPrEx>
          <w:tblW w:w="0" w:type="auto"/>
          <w:tblLayout w:type="fixed"/>
          <w:tblCellMar>
            <w:left w:w="62" w:type="dxa"/>
            <w:right w:w="62" w:type="dxa"/>
          </w:tblCellMar>
          <w:tblLook w:val="0000"/>
        </w:tblPrEx>
        <w:trPr>
          <w:trHeight w:val="2949"/>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Tools</w:t>
            </w:r>
            <w:r w:rsidRPr="002764F2">
              <w:t xml:space="preserve">, </w:t>
            </w:r>
            <w:r w:rsidRPr="002764F2">
              <w:rPr>
                <w:rStyle w:val="SpecialBold"/>
              </w:rPr>
              <w:t>equipment and testing devices include one (1) or mo</w:t>
            </w:r>
            <w:r w:rsidRPr="002764F2">
              <w:rPr>
                <w:rStyle w:val="SpecialBold"/>
              </w:rPr>
              <w:t>re of the following:</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refrigeration gauge manifold</w:t>
            </w:r>
          </w:p>
          <w:p w:rsidR="00000000" w:rsidRPr="002764F2" w:rsidP="002764F2">
            <w:pPr>
              <w:pStyle w:val="ListBullet"/>
            </w:pPr>
            <w:r w:rsidRPr="002764F2">
              <w:t>Schraeder access valves; quick connect couplings, thermometer/thermocouple temperature measuring devices</w:t>
            </w:r>
          </w:p>
          <w:p w:rsidR="00000000" w:rsidRPr="002764F2" w:rsidP="002764F2">
            <w:pPr>
              <w:pStyle w:val="ListBullet"/>
            </w:pPr>
            <w:r w:rsidRPr="002764F2">
              <w:t>analog and digital vacuum measuring gauges</w:t>
            </w:r>
          </w:p>
          <w:p w:rsidR="00000000" w:rsidRPr="002764F2" w:rsidP="002764F2">
            <w:pPr>
              <w:pStyle w:val="ListBullet"/>
            </w:pPr>
            <w:r w:rsidRPr="002764F2">
              <w:t>digital scales</w:t>
            </w:r>
          </w:p>
          <w:p w:rsidR="00000000" w:rsidRPr="002764F2" w:rsidP="002764F2">
            <w:pPr>
              <w:pStyle w:val="ListBullet"/>
            </w:pPr>
            <w:r w:rsidRPr="002764F2">
              <w:t>refrigerant recovery unit</w:t>
            </w:r>
          </w:p>
          <w:p w:rsidR="00000000" w:rsidRPr="002764F2" w:rsidP="002764F2">
            <w:pPr>
              <w:pStyle w:val="ListBullet"/>
            </w:pPr>
            <w:r w:rsidRPr="002764F2">
              <w:t>vacuum pump</w:t>
            </w:r>
          </w:p>
          <w:p w:rsidR="00000000" w:rsidRPr="002764F2" w:rsidP="002764F2">
            <w:pPr>
              <w:pStyle w:val="ListBullet"/>
            </w:pPr>
            <w:r w:rsidRPr="002764F2">
              <w:t>electronic leak detectors</w:t>
            </w:r>
          </w:p>
          <w:p w:rsidR="00000000" w:rsidP="002764F2">
            <w:pPr>
              <w:pStyle w:val="ListBullet"/>
              <w:rPr>
                <w:lang w:val="en-NZ"/>
              </w:rPr>
            </w:pPr>
            <w:r w:rsidRPr="002764F2">
              <w:t>refrigerant containers/cylinders</w:t>
            </w:r>
          </w:p>
        </w:tc>
      </w:tr>
      <w:tr w:rsidTr="002764F2">
        <w:tblPrEx>
          <w:tblW w:w="0" w:type="auto"/>
          <w:tblLayout w:type="fixed"/>
          <w:tblCellMar>
            <w:left w:w="62" w:type="dxa"/>
            <w:right w:w="62" w:type="dxa"/>
          </w:tblCellMar>
          <w:tblLook w:val="0000"/>
        </w:tblPrEx>
        <w:trPr>
          <w:trHeight w:val="755"/>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Industry best practice includes:</w:t>
            </w:r>
          </w:p>
        </w:tc>
        <w:tc>
          <w:tcPr>
            <w:tcW w:w="6382" w:type="dxa"/>
            <w:tcBorders>
              <w:top w:val="nil"/>
              <w:left w:val="nil"/>
              <w:bottom w:val="nil"/>
              <w:right w:val="nil"/>
            </w:tcBorders>
            <w:tcMar>
              <w:top w:w="0" w:type="dxa"/>
              <w:left w:w="62" w:type="dxa"/>
              <w:bottom w:w="0" w:type="dxa"/>
              <w:right w:w="62" w:type="dxa"/>
            </w:tcMar>
          </w:tcPr>
          <w:p w:rsidR="00000000" w:rsidP="002764F2">
            <w:pPr>
              <w:pStyle w:val="ListBullet"/>
              <w:rPr>
                <w:lang w:val="en-NZ"/>
              </w:rPr>
            </w:pPr>
            <w:r w:rsidRPr="002764F2">
              <w:t>pipe fabrication techniques and industry best practice for pipe brazing</w:t>
            </w:r>
          </w:p>
        </w:tc>
      </w:tr>
      <w:tr w:rsidTr="002764F2">
        <w:tblPrEx>
          <w:tblW w:w="0" w:type="auto"/>
          <w:tblLayout w:type="fixed"/>
          <w:tblCellMar>
            <w:left w:w="62" w:type="dxa"/>
            <w:right w:w="62" w:type="dxa"/>
          </w:tblCellMar>
          <w:tblLook w:val="0000"/>
        </w:tblPrEx>
        <w:trPr>
          <w:trHeight w:val="1483"/>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Standard refrigeration return to service procedures include one (1) or more of the follow</w:t>
            </w:r>
            <w:r w:rsidRPr="002764F2">
              <w:rPr>
                <w:rStyle w:val="SpecialBold"/>
              </w:rPr>
              <w:t>ing:</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leak detection</w:t>
            </w:r>
          </w:p>
          <w:p w:rsidR="00000000" w:rsidRPr="002764F2" w:rsidP="002764F2">
            <w:pPr>
              <w:pStyle w:val="ListBullet"/>
            </w:pPr>
            <w:r w:rsidRPr="002764F2">
              <w:t>evacuation</w:t>
            </w:r>
          </w:p>
          <w:p w:rsidR="00000000" w:rsidP="002764F2">
            <w:pPr>
              <w:pStyle w:val="ListBullet"/>
              <w:rPr>
                <w:lang w:val="en-NZ"/>
              </w:rPr>
            </w:pPr>
            <w:r w:rsidRPr="002764F2">
              <w:t>refrigerant charging of domestic air conditioning and refrigeration plug-in appliances</w:t>
            </w:r>
          </w:p>
        </w:tc>
      </w:tr>
      <w:tr w:rsidTr="002764F2">
        <w:tblPrEx>
          <w:tblW w:w="0" w:type="auto"/>
          <w:tblLayout w:type="fixed"/>
          <w:tblCellMar>
            <w:left w:w="62" w:type="dxa"/>
            <w:right w:w="62" w:type="dxa"/>
          </w:tblCellMar>
          <w:tblLook w:val="0000"/>
        </w:tblPrEx>
        <w:trPr>
          <w:trHeight w:val="2420"/>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Commonwealth, state and territory legislation, regulations, standards, codes of practice and industry guidelines include one (1)</w:t>
            </w:r>
            <w:r w:rsidRPr="002764F2">
              <w:rPr>
                <w:rStyle w:val="SpecialBold"/>
              </w:rPr>
              <w:t xml:space="preserve"> or more of the following:</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Ozone Protection and Synthetic Greenhouse Gas Legislation Amendment Bill 2003</w:t>
            </w:r>
          </w:p>
          <w:p w:rsidR="00000000" w:rsidRPr="002764F2" w:rsidP="002764F2">
            <w:pPr>
              <w:pStyle w:val="ListBullet"/>
            </w:pPr>
            <w:r w:rsidRPr="002764F2">
              <w:t>air conditioning residential best practice guidelines (AIRAH)</w:t>
            </w:r>
          </w:p>
          <w:p w:rsidR="00000000" w:rsidRPr="002764F2" w:rsidP="002764F2">
            <w:pPr>
              <w:pStyle w:val="ListBullet"/>
            </w:pPr>
            <w:r w:rsidRPr="002764F2">
              <w:t>AIRAH flammable refrigerant fact sheets and guide</w:t>
            </w:r>
          </w:p>
          <w:p w:rsidR="00000000" w:rsidRPr="002764F2" w:rsidP="002764F2">
            <w:pPr>
              <w:pStyle w:val="ListBullet"/>
            </w:pPr>
            <w:r w:rsidRPr="002764F2">
              <w:t>state/territory and local building reg</w:t>
            </w:r>
            <w:r w:rsidRPr="002764F2">
              <w:t>ulations</w:t>
            </w:r>
          </w:p>
          <w:p w:rsidR="00000000" w:rsidP="002764F2">
            <w:pPr>
              <w:pStyle w:val="ListBullet"/>
              <w:rPr>
                <w:lang w:val="en-NZ"/>
              </w:rPr>
            </w:pPr>
            <w:r w:rsidRPr="002764F2">
              <w:t>codes of practice for domestic refrigeration and air conditioning. (HB40)</w:t>
            </w:r>
          </w:p>
        </w:tc>
      </w:tr>
      <w:tr w:rsidTr="002764F2">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System performance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pressure</w:t>
            </w:r>
          </w:p>
          <w:p w:rsidR="00000000" w:rsidRPr="002764F2" w:rsidP="002764F2">
            <w:pPr>
              <w:pStyle w:val="ListBullet"/>
            </w:pPr>
            <w:r w:rsidRPr="002764F2">
              <w:t>temperature</w:t>
            </w:r>
          </w:p>
          <w:p w:rsidR="00000000" w:rsidRPr="002764F2" w:rsidP="002764F2">
            <w:pPr>
              <w:pStyle w:val="ListBullet"/>
            </w:pPr>
            <w:r w:rsidRPr="002764F2">
              <w:t>sub-cooling</w:t>
            </w:r>
          </w:p>
          <w:p w:rsidR="00000000" w:rsidRPr="002764F2" w:rsidP="002764F2">
            <w:pPr>
              <w:pStyle w:val="ListBullet"/>
            </w:pPr>
            <w:r w:rsidRPr="002764F2">
              <w:t>superheating</w:t>
            </w:r>
          </w:p>
          <w:p w:rsidR="00000000" w:rsidP="002764F2">
            <w:pPr>
              <w:pStyle w:val="ListBullet"/>
              <w:rPr>
                <w:lang w:val="en-NZ"/>
              </w:rPr>
            </w:pPr>
            <w:r w:rsidRPr="002764F2">
              <w:t>evaporator coil to air temperature difference</w:t>
            </w:r>
          </w:p>
        </w:tc>
      </w:tr>
      <w:tr w:rsidTr="002764F2">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2764F2">
            <w:pPr>
              <w:pStyle w:val="BodyText"/>
              <w:rPr>
                <w:lang w:val="en-NZ"/>
              </w:rPr>
            </w:pPr>
            <w:r w:rsidRPr="002764F2">
              <w:rPr>
                <w:rStyle w:val="SpecialBold"/>
              </w:rPr>
              <w:t>Domestic refrigeration and air conditioning appliances include:</w:t>
            </w:r>
          </w:p>
        </w:tc>
        <w:tc>
          <w:tcPr>
            <w:tcW w:w="6382" w:type="dxa"/>
            <w:tcBorders>
              <w:top w:val="nil"/>
              <w:left w:val="nil"/>
              <w:bottom w:val="nil"/>
              <w:right w:val="nil"/>
            </w:tcBorders>
            <w:tcMar>
              <w:top w:w="0" w:type="dxa"/>
              <w:left w:w="62" w:type="dxa"/>
              <w:bottom w:w="0" w:type="dxa"/>
              <w:right w:w="62" w:type="dxa"/>
            </w:tcMar>
          </w:tcPr>
          <w:p w:rsidR="00000000" w:rsidRPr="002764F2" w:rsidP="002764F2">
            <w:pPr>
              <w:pStyle w:val="ListBullet"/>
            </w:pPr>
            <w:r w:rsidRPr="002764F2">
              <w:t xml:space="preserve">self-contained plug in appliances primarily designed for domestic and residential situations, including one or more of the following: </w:t>
            </w:r>
          </w:p>
          <w:p w:rsidR="00000000" w:rsidRPr="002764F2" w:rsidP="002764F2">
            <w:pPr>
              <w:pStyle w:val="ListBullet2"/>
            </w:pPr>
            <w:r w:rsidRPr="002764F2">
              <w:t>refrigerators - single door, two door and two door side</w:t>
            </w:r>
            <w:r w:rsidRPr="002764F2">
              <w:t xml:space="preserve"> by side</w:t>
            </w:r>
          </w:p>
          <w:p w:rsidR="00000000" w:rsidRPr="002764F2" w:rsidP="002764F2">
            <w:pPr>
              <w:pStyle w:val="ListBullet2"/>
            </w:pPr>
            <w:r w:rsidRPr="002764F2">
              <w:t>freezers - chest and vertical door using, for example, refrigeration systems with cyclic defrost, frost-free with electric and hot-gas defrost, and manual defrost</w:t>
            </w:r>
          </w:p>
          <w:p w:rsidR="00000000" w:rsidRPr="002764F2" w:rsidP="002764F2">
            <w:pPr>
              <w:pStyle w:val="ListBullet2"/>
            </w:pPr>
            <w:r w:rsidRPr="002764F2">
              <w:t xml:space="preserve">air conditioners (window and wall mounted self-contained room air conditioners) </w:t>
            </w:r>
          </w:p>
        </w:tc>
      </w:tr>
    </w:tbl>
    <w:p w:rsidR="00000000" w:rsidRPr="002764F2" w:rsidP="002764F2">
      <w:pPr>
        <w:pStyle w:val="BodyText"/>
      </w:pPr>
    </w:p>
    <w:p w:rsidR="00000000" w:rsidRPr="002764F2" w:rsidP="002764F2">
      <w:pPr>
        <w:pStyle w:val="AllowPageBreak"/>
      </w:pPr>
    </w:p>
    <w:p w:rsidR="00000000" w:rsidRPr="002764F2" w:rsidP="002764F2">
      <w:pPr>
        <w:pStyle w:val="Heading1"/>
      </w:pPr>
      <w:bookmarkStart w:id="8" w:name="O_941656"/>
      <w:bookmarkEnd w:id="8"/>
      <w:r w:rsidRPr="002764F2">
        <w:t>Unit Mapping Information</w:t>
      </w:r>
    </w:p>
    <w:p w:rsidR="00000000" w:rsidRPr="002764F2" w:rsidP="005477DE">
      <w:pPr>
        <w:pStyle w:val="BodyText"/>
      </w:pPr>
      <w:r w:rsidRPr="002764F2">
        <w:t>Release 1. Supersedes and is equivalent to MEM18085A Install, service and repair domestic air conditioning and refrigeration appliances</w:t>
      </w:r>
    </w:p>
    <w:p w:rsidR="00000000" w:rsidRPr="002764F2" w:rsidP="002764F2">
      <w:pPr>
        <w:pStyle w:val="Heading1"/>
      </w:pPr>
      <w:bookmarkStart w:id="9" w:name="O_941649"/>
      <w:bookmarkEnd w:id="9"/>
      <w:r w:rsidRPr="002764F2">
        <w:t>Links</w:t>
      </w:r>
    </w:p>
    <w:p w:rsidR="00000000" w:rsidRPr="002764F2" w:rsidP="005477DE">
      <w:pPr>
        <w:pStyle w:val="BodyText"/>
      </w:pPr>
      <w:r w:rsidRPr="002764F2">
        <w:t>Companion Volume implementation guides are found in VETN</w:t>
      </w:r>
      <w:r w:rsidRPr="002764F2">
        <w:t xml:space="preserve">et - </w:t>
      </w:r>
      <w:r>
        <w:fldChar w:fldCharType="begin"/>
      </w:r>
      <w:r>
        <w:instrText xml:space="preserve"> HYPERLINK "https://vetnet.gov.au/Pages/TrainingDocs.aspx?q=b7050d37-5fd0-4740-8f7d-3b7a49c10bb2" </w:instrText>
      </w:r>
      <w:r>
        <w:fldChar w:fldCharType="separate"/>
      </w:r>
      <w:r w:rsidRPr="00A86B83">
        <w:rPr>
          <w:rStyle w:val="Hyperlink"/>
        </w:rPr>
        <w:t>https://vetnet.gov.au/Pages/TrainingDocs.aspx?q=b7050d37-5fd0-4740-8f7d-3b7a49c10bb2</w:t>
      </w:r>
      <w:r>
        <w:fldChar w:fldCharType="end"/>
      </w:r>
    </w:p>
    <w:p w:rsidR="00000000" w:rsidRPr="002764F2" w:rsidP="002764F2"/>
    <w:sectPr w:rsidSect="002764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F2" w:rsidRPr="005477DE" w:rsidP="00547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rsidP="00276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77DE" w:rsidP="002764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77DE" w:rsidP="00276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4F2" w:rsidRPr="005477DE" w:rsidP="00547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DE" w:rsidRPr="002D2AF8" w:rsidP="002764F2">
    <w:pPr>
      <w:pStyle w:val="Header"/>
      <w:framePr w:wrap="around"/>
    </w:pPr>
    <w:r>
      <w:fldChar w:fldCharType="begin"/>
    </w:r>
    <w:r>
      <w:instrText xml:space="preserve"> TITLE   \* MERGEFORMAT </w:instrText>
    </w:r>
    <w:r>
      <w:fldChar w:fldCharType="separate"/>
    </w:r>
    <w:r>
      <w:t>MEM18085 Install, service and repair domestic air conditioning and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477DE" w:rsidP="00276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2F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E7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6A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4F2"/>
    <w:pPr>
      <w:spacing w:before="360" w:after="60"/>
      <w:outlineLvl w:val="0"/>
    </w:pPr>
    <w:rPr>
      <w:sz w:val="32"/>
    </w:rPr>
  </w:style>
  <w:style w:type="paragraph" w:styleId="Heading2">
    <w:name w:val="heading 2"/>
    <w:basedOn w:val="HeadingBase"/>
    <w:next w:val="BodyText"/>
    <w:link w:val="Heading2Char"/>
    <w:qFormat/>
    <w:rsid w:val="002764F2"/>
    <w:pPr>
      <w:keepLines/>
      <w:spacing w:before="240" w:after="120"/>
      <w:outlineLvl w:val="1"/>
    </w:pPr>
    <w:rPr>
      <w:sz w:val="28"/>
      <w:szCs w:val="40"/>
    </w:rPr>
  </w:style>
  <w:style w:type="paragraph" w:styleId="Heading3">
    <w:name w:val="heading 3"/>
    <w:basedOn w:val="HeadingBase"/>
    <w:next w:val="BodyText"/>
    <w:link w:val="Heading3Char"/>
    <w:qFormat/>
    <w:rsid w:val="002764F2"/>
    <w:pPr>
      <w:spacing w:before="180" w:after="120"/>
      <w:outlineLvl w:val="2"/>
    </w:pPr>
    <w:rPr>
      <w:spacing w:val="-10"/>
      <w:kern w:val="32"/>
    </w:rPr>
  </w:style>
  <w:style w:type="paragraph" w:styleId="Heading4">
    <w:name w:val="heading 4"/>
    <w:basedOn w:val="HeadingBase"/>
    <w:next w:val="BodyText"/>
    <w:link w:val="Heading4Char"/>
    <w:qFormat/>
    <w:rsid w:val="002764F2"/>
    <w:pPr>
      <w:spacing w:before="160" w:after="120"/>
      <w:outlineLvl w:val="3"/>
    </w:pPr>
    <w:rPr>
      <w:sz w:val="22"/>
    </w:rPr>
  </w:style>
  <w:style w:type="paragraph" w:styleId="Heading5">
    <w:name w:val="heading 5"/>
    <w:basedOn w:val="HeadingBase"/>
    <w:next w:val="Normal"/>
    <w:link w:val="Heading5Char"/>
    <w:qFormat/>
    <w:rsid w:val="002764F2"/>
    <w:pPr>
      <w:spacing w:before="80"/>
      <w:outlineLvl w:val="4"/>
    </w:pPr>
    <w:rPr>
      <w:color w:val="918585"/>
      <w:sz w:val="20"/>
    </w:rPr>
  </w:style>
  <w:style w:type="paragraph" w:styleId="Heading6">
    <w:name w:val="heading 6"/>
    <w:basedOn w:val="HeadingBase"/>
    <w:next w:val="Normal"/>
    <w:link w:val="Heading6Char"/>
    <w:qFormat/>
    <w:rsid w:val="002764F2"/>
    <w:pPr>
      <w:spacing w:before="60"/>
      <w:outlineLvl w:val="5"/>
    </w:pPr>
    <w:rPr>
      <w:color w:val="918585"/>
      <w:sz w:val="20"/>
    </w:rPr>
  </w:style>
  <w:style w:type="paragraph" w:styleId="Heading7">
    <w:name w:val="heading 7"/>
    <w:basedOn w:val="Normal"/>
    <w:next w:val="Normal"/>
    <w:link w:val="Heading7Char"/>
    <w:qFormat/>
    <w:rsid w:val="002764F2"/>
    <w:pPr>
      <w:ind w:left="720"/>
      <w:outlineLvl w:val="6"/>
    </w:pPr>
    <w:rPr>
      <w:i/>
    </w:rPr>
  </w:style>
  <w:style w:type="paragraph" w:styleId="Heading8">
    <w:name w:val="heading 8"/>
    <w:basedOn w:val="Normal"/>
    <w:next w:val="Normal"/>
    <w:link w:val="Heading8Char"/>
    <w:qFormat/>
    <w:rsid w:val="002764F2"/>
    <w:pPr>
      <w:ind w:left="720"/>
      <w:outlineLvl w:val="7"/>
    </w:pPr>
    <w:rPr>
      <w:i/>
    </w:rPr>
  </w:style>
  <w:style w:type="paragraph" w:styleId="Heading9">
    <w:name w:val="heading 9"/>
    <w:basedOn w:val="Normal"/>
    <w:next w:val="Normal"/>
    <w:link w:val="Heading9Char"/>
    <w:qFormat/>
    <w:rsid w:val="002764F2"/>
    <w:pPr>
      <w:ind w:left="720"/>
      <w:outlineLvl w:val="8"/>
    </w:pPr>
    <w:rPr>
      <w:i/>
    </w:rPr>
  </w:style>
  <w:style w:type="character" w:default="1" w:styleId="DefaultParagraphFont">
    <w:name w:val="Default Paragraph Font"/>
    <w:uiPriority w:val="1"/>
    <w:unhideWhenUsed/>
    <w:rsid w:val="00276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4F2"/>
  </w:style>
  <w:style w:type="character" w:customStyle="1" w:styleId="Heading1Char">
    <w:name w:val="Heading 1 Char"/>
    <w:basedOn w:val="DefaultParagraphFont"/>
    <w:link w:val="Heading1"/>
    <w:rsid w:val="002764F2"/>
    <w:rPr>
      <w:rFonts w:ascii="Times New Roman" w:eastAsia="Times New Roman" w:hAnsi="Times New Roman" w:cs="Times New Roman"/>
      <w:b/>
      <w:sz w:val="32"/>
      <w:szCs w:val="20"/>
      <w:lang w:eastAsia="en-US"/>
    </w:rPr>
  </w:style>
  <w:style w:type="paragraph" w:styleId="BodyText">
    <w:name w:val="Body Text"/>
    <w:basedOn w:val="Normal"/>
    <w:link w:val="BodyTextChar"/>
    <w:rsid w:val="002764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4F2"/>
    <w:rPr>
      <w:rFonts w:ascii="Times New Roman" w:eastAsia="Times New Roman" w:hAnsi="Times New Roman" w:cs="Times New Roman"/>
      <w:sz w:val="24"/>
      <w:lang w:eastAsia="en-US"/>
    </w:rPr>
  </w:style>
  <w:style w:type="paragraph" w:styleId="ListBullet">
    <w:name w:val="List Bullet"/>
    <w:basedOn w:val="List"/>
    <w:rsid w:val="002764F2"/>
    <w:pPr>
      <w:numPr>
        <w:numId w:val="12"/>
      </w:numPr>
      <w:tabs>
        <w:tab w:val="clear" w:pos="340"/>
      </w:tabs>
      <w:spacing w:before="40" w:after="40"/>
    </w:pPr>
  </w:style>
  <w:style w:type="character" w:customStyle="1" w:styleId="SpecialBold">
    <w:name w:val="Special Bold"/>
    <w:basedOn w:val="DefaultParagraphFont"/>
    <w:rsid w:val="002764F2"/>
    <w:rPr>
      <w:b/>
      <w:spacing w:val="0"/>
    </w:rPr>
  </w:style>
  <w:style w:type="paragraph" w:styleId="ListBullet2">
    <w:name w:val="List Bullet 2"/>
    <w:basedOn w:val="List2"/>
    <w:rsid w:val="002764F2"/>
    <w:pPr>
      <w:numPr>
        <w:numId w:val="13"/>
      </w:numPr>
      <w:tabs>
        <w:tab w:val="clear" w:pos="680"/>
      </w:tabs>
    </w:pPr>
  </w:style>
  <w:style w:type="paragraph" w:customStyle="1" w:styleId="SuperHeading">
    <w:name w:val="SuperHeading"/>
    <w:basedOn w:val="Normal"/>
    <w:rsid w:val="002764F2"/>
    <w:pPr>
      <w:spacing w:before="240" w:after="120"/>
      <w:outlineLvl w:val="0"/>
    </w:pPr>
    <w:rPr>
      <w:rFonts w:ascii="Times New Roman" w:hAnsi="Times New Roman"/>
      <w:b/>
      <w:sz w:val="32"/>
    </w:rPr>
  </w:style>
  <w:style w:type="paragraph" w:customStyle="1" w:styleId="AllowPageBreak">
    <w:name w:val="AllowPageBreak"/>
    <w:rsid w:val="002764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4F2"/>
    <w:rPr>
      <w:rFonts w:ascii="Courier New" w:eastAsia="Times New Roman" w:hAnsi="Courier New" w:cs="Times New Roman"/>
      <w:i/>
      <w:szCs w:val="20"/>
      <w:lang w:eastAsia="en-US"/>
    </w:rPr>
  </w:style>
  <w:style w:type="paragraph" w:customStyle="1" w:styleId="HeadingBase">
    <w:name w:val="Heading Base"/>
    <w:rsid w:val="00276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4F2"/>
    <w:pPr>
      <w:tabs>
        <w:tab w:val="right" w:leader="dot" w:pos="9072"/>
      </w:tabs>
      <w:ind w:left="567"/>
    </w:pPr>
    <w:rPr>
      <w:szCs w:val="22"/>
    </w:rPr>
  </w:style>
  <w:style w:type="paragraph" w:customStyle="1" w:styleId="TOCBase">
    <w:name w:val="TOC Base"/>
    <w:rsid w:val="00276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4F2"/>
    <w:pPr>
      <w:tabs>
        <w:tab w:val="right" w:leader="dot" w:pos="9072"/>
      </w:tabs>
      <w:spacing w:before="40" w:after="40"/>
      <w:ind w:left="284"/>
    </w:pPr>
    <w:rPr>
      <w:rFonts w:ascii="Times New Roman" w:hAnsi="Times New Roman"/>
    </w:rPr>
  </w:style>
  <w:style w:type="paragraph" w:styleId="TOC1">
    <w:name w:val="toc 1"/>
    <w:basedOn w:val="TOCBase"/>
    <w:next w:val="Normal"/>
    <w:rsid w:val="00276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4F2"/>
    <w:rPr>
      <w:rFonts w:ascii="Times New Roman" w:eastAsia="Times New Roman" w:hAnsi="Times New Roman" w:cs="Times New Roman"/>
      <w:sz w:val="16"/>
      <w:lang w:eastAsia="en-US"/>
    </w:rPr>
  </w:style>
  <w:style w:type="paragraph" w:styleId="Title">
    <w:name w:val="Title"/>
    <w:basedOn w:val="HeadingBase"/>
    <w:link w:val="TitleChar"/>
    <w:qFormat/>
    <w:rsid w:val="002764F2"/>
    <w:pPr>
      <w:spacing w:before="5040"/>
      <w:jc w:val="center"/>
    </w:pPr>
    <w:rPr>
      <w:sz w:val="48"/>
      <w:szCs w:val="72"/>
      <w:lang w:val="en-US"/>
    </w:rPr>
  </w:style>
  <w:style w:type="character" w:customStyle="1" w:styleId="TitleChar">
    <w:name w:val="Title Char"/>
    <w:basedOn w:val="DefaultParagraphFont"/>
    <w:link w:val="Title"/>
    <w:rsid w:val="00276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4F2"/>
    <w:pPr>
      <w:tabs>
        <w:tab w:val="left" w:pos="3600"/>
        <w:tab w:val="left" w:pos="3958"/>
      </w:tabs>
    </w:pPr>
  </w:style>
  <w:style w:type="paragraph" w:styleId="List">
    <w:name w:val="List"/>
    <w:basedOn w:val="BodyText"/>
    <w:next w:val="BodyText"/>
    <w:rsid w:val="002764F2"/>
    <w:pPr>
      <w:tabs>
        <w:tab w:val="left" w:pos="340"/>
      </w:tabs>
      <w:spacing w:before="60" w:after="60"/>
      <w:ind w:left="340" w:hanging="340"/>
    </w:pPr>
  </w:style>
  <w:style w:type="paragraph" w:customStyle="1" w:styleId="Note">
    <w:name w:val="Note"/>
    <w:basedOn w:val="BodyText"/>
    <w:rsid w:val="00276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4F2"/>
    <w:pPr>
      <w:framePr w:wrap="auto" w:hAnchor="text" w:y="6049"/>
    </w:pPr>
    <w:rPr>
      <w:color w:val="000000"/>
      <w:sz w:val="40"/>
    </w:rPr>
  </w:style>
  <w:style w:type="paragraph" w:customStyle="1" w:styleId="TOCTitle">
    <w:name w:val="TOCTitle"/>
    <w:basedOn w:val="Heading1"/>
    <w:rsid w:val="002764F2"/>
    <w:pPr>
      <w:spacing w:after="240"/>
      <w:jc w:val="center"/>
      <w:outlineLvl w:val="9"/>
    </w:pPr>
    <w:rPr>
      <w:caps/>
    </w:rPr>
  </w:style>
  <w:style w:type="paragraph" w:customStyle="1" w:styleId="Version">
    <w:name w:val="Version"/>
    <w:rsid w:val="002764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4F2"/>
    <w:pPr>
      <w:keepNext w:val="0"/>
      <w:tabs>
        <w:tab w:val="right" w:pos="4176"/>
      </w:tabs>
      <w:ind w:left="198" w:hanging="198"/>
    </w:pPr>
    <w:rPr>
      <w:rFonts w:ascii="Garamond" w:hAnsi="Garamond"/>
    </w:rPr>
  </w:style>
  <w:style w:type="paragraph" w:styleId="IndexHeading">
    <w:name w:val="index heading"/>
    <w:basedOn w:val="Normal"/>
    <w:next w:val="Index1"/>
    <w:semiHidden/>
    <w:rsid w:val="002764F2"/>
    <w:pPr>
      <w:spacing w:before="120" w:after="120"/>
    </w:pPr>
    <w:rPr>
      <w:rFonts w:ascii="Arial" w:hAnsi="Arial"/>
      <w:b/>
      <w:color w:val="918585"/>
      <w:sz w:val="24"/>
    </w:rPr>
  </w:style>
  <w:style w:type="paragraph" w:styleId="Header">
    <w:name w:val="header"/>
    <w:basedOn w:val="Normal"/>
    <w:link w:val="HeaderChar"/>
    <w:rsid w:val="00276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4F2"/>
    <w:rPr>
      <w:rFonts w:ascii="Times New Roman" w:eastAsia="Times New Roman" w:hAnsi="Times New Roman" w:cs="Times New Roman"/>
      <w:sz w:val="16"/>
      <w:szCs w:val="20"/>
      <w:lang w:val="en-GB" w:eastAsia="en-US"/>
    </w:rPr>
  </w:style>
  <w:style w:type="paragraph" w:customStyle="1" w:styleId="Chapter">
    <w:name w:val="Chapter"/>
    <w:basedOn w:val="Normal"/>
    <w:rsid w:val="002764F2"/>
    <w:pPr>
      <w:spacing w:before="240"/>
    </w:pPr>
    <w:rPr>
      <w:rFonts w:ascii="Times New Roman" w:hAnsi="Times New Roman"/>
      <w:smallCaps/>
      <w:spacing w:val="80"/>
      <w:sz w:val="28"/>
    </w:rPr>
  </w:style>
  <w:style w:type="paragraph" w:customStyle="1" w:styleId="InChapter">
    <w:name w:val="InChapter"/>
    <w:basedOn w:val="Heading3"/>
    <w:rsid w:val="002764F2"/>
    <w:pPr>
      <w:spacing w:after="240"/>
      <w:outlineLvl w:val="9"/>
    </w:pPr>
    <w:rPr>
      <w:noProof/>
    </w:rPr>
  </w:style>
  <w:style w:type="paragraph" w:styleId="Index2">
    <w:name w:val="index 2"/>
    <w:basedOn w:val="Normal"/>
    <w:next w:val="Normal"/>
    <w:semiHidden/>
    <w:rsid w:val="002764F2"/>
    <w:pPr>
      <w:tabs>
        <w:tab w:val="right" w:pos="4176"/>
      </w:tabs>
      <w:ind w:left="568" w:hanging="284"/>
    </w:pPr>
    <w:rPr>
      <w:rFonts w:ascii="Garamond" w:hAnsi="Garamond"/>
    </w:rPr>
  </w:style>
  <w:style w:type="paragraph" w:customStyle="1" w:styleId="Byline">
    <w:name w:val="Byline"/>
    <w:rsid w:val="00276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4F2"/>
    <w:pPr>
      <w:tabs>
        <w:tab w:val="clear" w:pos="3600"/>
        <w:tab w:val="clear" w:pos="3958"/>
      </w:tabs>
      <w:jc w:val="right"/>
    </w:pPr>
  </w:style>
  <w:style w:type="character" w:styleId="Emphasis">
    <w:name w:val="Emphasis"/>
    <w:basedOn w:val="DefaultParagraphFont"/>
    <w:qFormat/>
    <w:rsid w:val="002764F2"/>
    <w:rPr>
      <w:i/>
    </w:rPr>
  </w:style>
  <w:style w:type="paragraph" w:styleId="Caption">
    <w:name w:val="caption"/>
    <w:basedOn w:val="BodyText"/>
    <w:next w:val="Normal"/>
    <w:qFormat/>
    <w:rsid w:val="002764F2"/>
    <w:pPr>
      <w:framePr w:w="2268" w:hSpace="181" w:vSpace="181" w:wrap="around" w:vAnchor="text" w:hAnchor="page" w:x="1135" w:y="285" w:anchorLock="1"/>
    </w:pPr>
    <w:rPr>
      <w:i/>
    </w:rPr>
  </w:style>
  <w:style w:type="paragraph" w:customStyle="1" w:styleId="MiniTOCTitle">
    <w:name w:val="MiniTOCTitle"/>
    <w:basedOn w:val="Heading4"/>
    <w:rsid w:val="002764F2"/>
    <w:pPr>
      <w:spacing w:before="240"/>
      <w:outlineLvl w:val="9"/>
    </w:pPr>
    <w:rPr>
      <w:noProof/>
      <w:sz w:val="24"/>
    </w:rPr>
  </w:style>
  <w:style w:type="paragraph" w:customStyle="1" w:styleId="MiniTOCItem">
    <w:name w:val="MiniTOCItem"/>
    <w:basedOn w:val="ListBullet"/>
    <w:rsid w:val="002764F2"/>
    <w:pPr>
      <w:numPr>
        <w:numId w:val="0"/>
      </w:numPr>
      <w:tabs>
        <w:tab w:val="right" w:leader="dot" w:pos="6521"/>
      </w:tabs>
      <w:spacing w:before="0" w:after="0"/>
    </w:pPr>
  </w:style>
  <w:style w:type="paragraph" w:customStyle="1" w:styleId="TOFTitle">
    <w:name w:val="TOFTitle"/>
    <w:basedOn w:val="TOCTitle"/>
    <w:rsid w:val="002764F2"/>
  </w:style>
  <w:style w:type="paragraph" w:styleId="TableofFigures">
    <w:name w:val="table of figures"/>
    <w:basedOn w:val="Normal"/>
    <w:next w:val="Normal"/>
    <w:semiHidden/>
    <w:rsid w:val="002764F2"/>
    <w:pPr>
      <w:tabs>
        <w:tab w:val="right" w:leader="dot" w:pos="9072"/>
      </w:tabs>
      <w:ind w:left="970" w:hanging="403"/>
    </w:pPr>
    <w:rPr>
      <w:rFonts w:ascii="Times New Roman" w:hAnsi="Times New Roman"/>
      <w:b/>
    </w:rPr>
  </w:style>
  <w:style w:type="paragraph" w:styleId="ListNumber">
    <w:name w:val="List Number"/>
    <w:basedOn w:val="List"/>
    <w:rsid w:val="002764F2"/>
    <w:pPr>
      <w:numPr>
        <w:numId w:val="15"/>
      </w:numPr>
      <w:tabs>
        <w:tab w:val="clear" w:pos="340"/>
      </w:tabs>
    </w:pPr>
  </w:style>
  <w:style w:type="character" w:customStyle="1" w:styleId="WingdingSymbols">
    <w:name w:val="Wingding Symbols"/>
    <w:rsid w:val="002764F2"/>
    <w:rPr>
      <w:rFonts w:ascii="Wingdings" w:hAnsi="Wingdings"/>
    </w:rPr>
  </w:style>
  <w:style w:type="paragraph" w:customStyle="1" w:styleId="TableHeading">
    <w:name w:val="Table Heading"/>
    <w:basedOn w:val="HeadingBase"/>
    <w:rsid w:val="002764F2"/>
    <w:pPr>
      <w:keepLines/>
      <w:pBdr>
        <w:bottom w:val="single" w:sz="6" w:space="1" w:color="918585"/>
      </w:pBdr>
      <w:spacing w:before="240"/>
    </w:pPr>
  </w:style>
  <w:style w:type="character" w:customStyle="1" w:styleId="HotSpot">
    <w:name w:val="HotSpot"/>
    <w:rsid w:val="002764F2"/>
    <w:rPr>
      <w:color w:val="0033CC"/>
      <w:u w:val="none"/>
    </w:rPr>
  </w:style>
  <w:style w:type="paragraph" w:customStyle="1" w:styleId="BodyTextRight">
    <w:name w:val="Body Text Right"/>
    <w:basedOn w:val="BodyText"/>
    <w:rsid w:val="002764F2"/>
    <w:pPr>
      <w:spacing w:before="0" w:after="0"/>
      <w:jc w:val="right"/>
    </w:pPr>
  </w:style>
  <w:style w:type="paragraph" w:styleId="Index3">
    <w:name w:val="index 3"/>
    <w:basedOn w:val="ListNumber2"/>
    <w:next w:val="Normal"/>
    <w:semiHidden/>
    <w:rsid w:val="002764F2"/>
    <w:pPr>
      <w:numPr>
        <w:numId w:val="0"/>
      </w:numPr>
      <w:tabs>
        <w:tab w:val="right" w:leader="dot" w:pos="4176"/>
      </w:tabs>
    </w:pPr>
  </w:style>
  <w:style w:type="paragraph" w:styleId="ListNumber2">
    <w:name w:val="List Number 2"/>
    <w:basedOn w:val="List2"/>
    <w:rsid w:val="002764F2"/>
    <w:pPr>
      <w:numPr>
        <w:numId w:val="10"/>
      </w:numPr>
      <w:tabs>
        <w:tab w:val="clear" w:pos="1060"/>
      </w:tabs>
    </w:pPr>
  </w:style>
  <w:style w:type="paragraph" w:customStyle="1" w:styleId="MarginNote">
    <w:name w:val="Margin Note"/>
    <w:basedOn w:val="BodyText"/>
    <w:rsid w:val="00276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4F2"/>
    <w:rPr>
      <w:sz w:val="32"/>
    </w:rPr>
  </w:style>
  <w:style w:type="paragraph" w:customStyle="1" w:styleId="HeadingProcedure">
    <w:name w:val="Heading Procedure"/>
    <w:basedOn w:val="HeadingBase"/>
    <w:next w:val="Normal"/>
    <w:rsid w:val="002764F2"/>
    <w:pPr>
      <w:tabs>
        <w:tab w:val="left" w:pos="0"/>
      </w:tabs>
      <w:spacing w:before="120" w:after="60"/>
    </w:pPr>
    <w:rPr>
      <w:i/>
      <w:color w:val="918585"/>
      <w:sz w:val="22"/>
    </w:rPr>
  </w:style>
  <w:style w:type="paragraph" w:customStyle="1" w:styleId="TableBodyText">
    <w:name w:val="Table Body Text"/>
    <w:basedOn w:val="BodyText"/>
    <w:rsid w:val="002764F2"/>
    <w:pPr>
      <w:spacing w:before="60" w:after="60"/>
    </w:pPr>
  </w:style>
  <w:style w:type="paragraph" w:styleId="ListContinue">
    <w:name w:val="List Continue"/>
    <w:basedOn w:val="List"/>
    <w:rsid w:val="002764F2"/>
    <w:pPr>
      <w:ind w:firstLine="0"/>
    </w:pPr>
  </w:style>
  <w:style w:type="paragraph" w:customStyle="1" w:styleId="ListNote">
    <w:name w:val="List Note"/>
    <w:basedOn w:val="List"/>
    <w:rsid w:val="002764F2"/>
    <w:pPr>
      <w:pBdr>
        <w:top w:val="single" w:sz="6" w:space="2" w:color="918585"/>
        <w:bottom w:val="single" w:sz="6" w:space="2" w:color="918585"/>
      </w:pBdr>
      <w:tabs>
        <w:tab w:val="left" w:pos="1021"/>
      </w:tabs>
      <w:ind w:firstLine="0"/>
    </w:pPr>
  </w:style>
  <w:style w:type="paragraph" w:customStyle="1" w:styleId="Warning">
    <w:name w:val="Warning"/>
    <w:basedOn w:val="BodyText"/>
    <w:rsid w:val="002764F2"/>
    <w:pPr>
      <w:shd w:val="clear" w:color="auto" w:fill="D9D9D9"/>
      <w:tabs>
        <w:tab w:val="left" w:pos="992"/>
      </w:tabs>
      <w:ind w:left="119" w:right="119"/>
    </w:pPr>
    <w:rPr>
      <w:sz w:val="20"/>
    </w:rPr>
  </w:style>
  <w:style w:type="paragraph" w:customStyle="1" w:styleId="MarginIcons">
    <w:name w:val="Margin Icons"/>
    <w:basedOn w:val="BodyText"/>
    <w:rsid w:val="00276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4F2"/>
    <w:rPr>
      <w:rFonts w:ascii="Courier New" w:hAnsi="Courier New"/>
    </w:rPr>
  </w:style>
  <w:style w:type="paragraph" w:customStyle="1" w:styleId="NoteBullet">
    <w:name w:val="Note Bullet"/>
    <w:basedOn w:val="Note"/>
    <w:rsid w:val="002764F2"/>
    <w:pPr>
      <w:tabs>
        <w:tab w:val="clear" w:pos="680"/>
      </w:tabs>
      <w:spacing w:before="60" w:after="60"/>
    </w:pPr>
  </w:style>
  <w:style w:type="paragraph" w:customStyle="1" w:styleId="SubHeading2">
    <w:name w:val="SubHeading2"/>
    <w:basedOn w:val="HeadingBase"/>
    <w:rsid w:val="002764F2"/>
    <w:pPr>
      <w:spacing w:before="240" w:after="60"/>
    </w:pPr>
    <w:rPr>
      <w:sz w:val="20"/>
    </w:rPr>
  </w:style>
  <w:style w:type="paragraph" w:customStyle="1" w:styleId="SubHeading1">
    <w:name w:val="SubHeading1"/>
    <w:basedOn w:val="HeadingBase"/>
    <w:rsid w:val="002764F2"/>
    <w:pPr>
      <w:spacing w:before="240" w:after="60"/>
    </w:pPr>
    <w:rPr>
      <w:color w:val="918585"/>
      <w:sz w:val="22"/>
    </w:rPr>
  </w:style>
  <w:style w:type="paragraph" w:customStyle="1" w:styleId="SideHeading">
    <w:name w:val="Side Heading"/>
    <w:basedOn w:val="HeadingBase"/>
    <w:rsid w:val="00276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4F2"/>
    <w:pPr>
      <w:tabs>
        <w:tab w:val="num" w:pos="360"/>
      </w:tabs>
    </w:pPr>
  </w:style>
  <w:style w:type="paragraph" w:styleId="PlainText">
    <w:name w:val="Plain Text"/>
    <w:basedOn w:val="Normal"/>
    <w:link w:val="PlainTextChar"/>
    <w:rsid w:val="002764F2"/>
    <w:rPr>
      <w:sz w:val="20"/>
    </w:rPr>
  </w:style>
  <w:style w:type="character" w:customStyle="1" w:styleId="PlainTextChar">
    <w:name w:val="Plain Text Char"/>
    <w:basedOn w:val="DefaultParagraphFont"/>
    <w:link w:val="PlainText"/>
    <w:rsid w:val="002764F2"/>
    <w:rPr>
      <w:rFonts w:ascii="Courier New" w:eastAsia="Times New Roman" w:hAnsi="Courier New" w:cs="Times New Roman"/>
      <w:sz w:val="20"/>
      <w:szCs w:val="20"/>
      <w:lang w:eastAsia="en-US"/>
    </w:rPr>
  </w:style>
  <w:style w:type="character" w:customStyle="1" w:styleId="MenuOption">
    <w:name w:val="Menu Option"/>
    <w:basedOn w:val="DefaultParagraphFont"/>
    <w:rsid w:val="002764F2"/>
    <w:rPr>
      <w:b/>
      <w:smallCaps/>
    </w:rPr>
  </w:style>
  <w:style w:type="paragraph" w:customStyle="1" w:styleId="TableListNumber">
    <w:name w:val="Table List Number"/>
    <w:basedOn w:val="ListNumber"/>
    <w:rsid w:val="002764F2"/>
    <w:pPr>
      <w:numPr>
        <w:numId w:val="0"/>
      </w:numPr>
    </w:pPr>
  </w:style>
  <w:style w:type="paragraph" w:styleId="TOC4">
    <w:name w:val="toc 4"/>
    <w:basedOn w:val="TOCBase"/>
    <w:next w:val="Normal"/>
    <w:semiHidden/>
    <w:rsid w:val="002764F2"/>
    <w:pPr>
      <w:tabs>
        <w:tab w:val="right" w:leader="dot" w:pos="9071"/>
      </w:tabs>
      <w:ind w:left="1701"/>
    </w:pPr>
  </w:style>
  <w:style w:type="paragraph" w:customStyle="1" w:styleId="ListAlpha">
    <w:name w:val="List Alpha"/>
    <w:basedOn w:val="List"/>
    <w:rsid w:val="002764F2"/>
    <w:pPr>
      <w:numPr>
        <w:numId w:val="9"/>
      </w:numPr>
    </w:pPr>
  </w:style>
  <w:style w:type="paragraph" w:customStyle="1" w:styleId="ListAlpha2">
    <w:name w:val="List Alpha 2"/>
    <w:basedOn w:val="List2"/>
    <w:rsid w:val="002764F2"/>
    <w:pPr>
      <w:numPr>
        <w:numId w:val="8"/>
      </w:numPr>
    </w:pPr>
  </w:style>
  <w:style w:type="paragraph" w:styleId="List2">
    <w:name w:val="List 2"/>
    <w:basedOn w:val="BodyText"/>
    <w:rsid w:val="002764F2"/>
    <w:pPr>
      <w:tabs>
        <w:tab w:val="left" w:pos="680"/>
      </w:tabs>
      <w:spacing w:before="60" w:after="60"/>
      <w:ind w:left="680" w:hanging="340"/>
    </w:pPr>
  </w:style>
  <w:style w:type="paragraph" w:styleId="List3">
    <w:name w:val="List 3"/>
    <w:basedOn w:val="BodyText"/>
    <w:rsid w:val="002764F2"/>
    <w:pPr>
      <w:tabs>
        <w:tab w:val="left" w:pos="1021"/>
      </w:tabs>
      <w:spacing w:before="60" w:after="60"/>
      <w:ind w:left="1020" w:hanging="340"/>
    </w:pPr>
  </w:style>
  <w:style w:type="paragraph" w:styleId="List4">
    <w:name w:val="List 4"/>
    <w:basedOn w:val="BodyText"/>
    <w:rsid w:val="002764F2"/>
    <w:pPr>
      <w:tabs>
        <w:tab w:val="left" w:pos="1361"/>
      </w:tabs>
      <w:spacing w:before="60" w:after="60"/>
      <w:ind w:left="1361" w:hanging="340"/>
    </w:pPr>
  </w:style>
  <w:style w:type="paragraph" w:styleId="List5">
    <w:name w:val="List 5"/>
    <w:basedOn w:val="BodyText"/>
    <w:rsid w:val="002764F2"/>
    <w:pPr>
      <w:tabs>
        <w:tab w:val="left" w:pos="1701"/>
      </w:tabs>
      <w:spacing w:before="60" w:after="60"/>
      <w:ind w:left="1701" w:hanging="340"/>
    </w:pPr>
  </w:style>
  <w:style w:type="paragraph" w:styleId="ListBullet3">
    <w:name w:val="List Bullet 3"/>
    <w:basedOn w:val="List3"/>
    <w:rsid w:val="002764F2"/>
    <w:pPr>
      <w:numPr>
        <w:numId w:val="14"/>
      </w:numPr>
      <w:tabs>
        <w:tab w:val="clear" w:pos="1021"/>
      </w:tabs>
      <w:ind w:left="1037" w:hanging="357"/>
    </w:pPr>
  </w:style>
  <w:style w:type="paragraph" w:styleId="ListBullet4">
    <w:name w:val="List Bullet 4"/>
    <w:basedOn w:val="List4"/>
    <w:rsid w:val="002764F2"/>
    <w:pPr>
      <w:numPr>
        <w:numId w:val="3"/>
      </w:numPr>
      <w:tabs>
        <w:tab w:val="clear" w:pos="1361"/>
      </w:tabs>
    </w:pPr>
  </w:style>
  <w:style w:type="paragraph" w:styleId="ListBullet5">
    <w:name w:val="List Bullet 5"/>
    <w:basedOn w:val="List5"/>
    <w:rsid w:val="002764F2"/>
    <w:pPr>
      <w:numPr>
        <w:numId w:val="4"/>
      </w:numPr>
    </w:pPr>
  </w:style>
  <w:style w:type="paragraph" w:styleId="ListContinue2">
    <w:name w:val="List Continue 2"/>
    <w:basedOn w:val="List2"/>
    <w:rsid w:val="002764F2"/>
    <w:pPr>
      <w:ind w:firstLine="0"/>
    </w:pPr>
  </w:style>
  <w:style w:type="paragraph" w:styleId="ListContinue3">
    <w:name w:val="List Continue 3"/>
    <w:basedOn w:val="List3"/>
    <w:rsid w:val="002764F2"/>
    <w:pPr>
      <w:ind w:left="1021" w:firstLine="0"/>
    </w:pPr>
  </w:style>
  <w:style w:type="paragraph" w:styleId="ListContinue4">
    <w:name w:val="List Continue 4"/>
    <w:basedOn w:val="List4"/>
    <w:rsid w:val="002764F2"/>
    <w:pPr>
      <w:ind w:firstLine="0"/>
    </w:pPr>
  </w:style>
  <w:style w:type="paragraph" w:styleId="ListContinue5">
    <w:name w:val="List Continue 5"/>
    <w:basedOn w:val="List5"/>
    <w:rsid w:val="002764F2"/>
    <w:pPr>
      <w:ind w:firstLine="0"/>
    </w:pPr>
  </w:style>
  <w:style w:type="paragraph" w:styleId="ListNumber3">
    <w:name w:val="List Number 3"/>
    <w:basedOn w:val="List3"/>
    <w:rsid w:val="002764F2"/>
    <w:pPr>
      <w:numPr>
        <w:numId w:val="5"/>
      </w:numPr>
    </w:pPr>
  </w:style>
  <w:style w:type="paragraph" w:styleId="ListNumber4">
    <w:name w:val="List Number 4"/>
    <w:basedOn w:val="List4"/>
    <w:rsid w:val="002764F2"/>
    <w:pPr>
      <w:numPr>
        <w:numId w:val="6"/>
      </w:numPr>
    </w:pPr>
  </w:style>
  <w:style w:type="paragraph" w:styleId="ListNumber5">
    <w:name w:val="List Number 5"/>
    <w:basedOn w:val="List5"/>
    <w:rsid w:val="002764F2"/>
    <w:pPr>
      <w:numPr>
        <w:numId w:val="7"/>
      </w:numPr>
    </w:pPr>
  </w:style>
  <w:style w:type="paragraph" w:styleId="BlockText">
    <w:name w:val="Block Text"/>
    <w:basedOn w:val="Normal"/>
    <w:rsid w:val="002764F2"/>
    <w:pPr>
      <w:spacing w:after="120"/>
      <w:ind w:left="1440" w:right="1440"/>
    </w:pPr>
  </w:style>
  <w:style w:type="character" w:customStyle="1" w:styleId="Subscript">
    <w:name w:val="Subscript"/>
    <w:basedOn w:val="DefaultParagraphFont"/>
    <w:rsid w:val="002764F2"/>
    <w:rPr>
      <w:sz w:val="16"/>
      <w:vertAlign w:val="subscript"/>
    </w:rPr>
  </w:style>
  <w:style w:type="character" w:customStyle="1" w:styleId="Superscript">
    <w:name w:val="Superscript"/>
    <w:basedOn w:val="DefaultParagraphFont"/>
    <w:rsid w:val="002764F2"/>
    <w:rPr>
      <w:sz w:val="16"/>
      <w:vertAlign w:val="superscript"/>
    </w:rPr>
  </w:style>
  <w:style w:type="character" w:customStyle="1" w:styleId="Symbols">
    <w:name w:val="Symbols"/>
    <w:basedOn w:val="DefaultParagraphFont"/>
    <w:rsid w:val="002764F2"/>
    <w:rPr>
      <w:rFonts w:ascii="Symbol" w:hAnsi="Symbol"/>
    </w:rPr>
  </w:style>
  <w:style w:type="character" w:customStyle="1" w:styleId="MenuOptions">
    <w:name w:val="Menu Options"/>
    <w:basedOn w:val="DefaultParagraphFont"/>
    <w:rsid w:val="002764F2"/>
    <w:rPr>
      <w:rFonts w:ascii="Arial Narrow" w:hAnsi="Arial Narrow"/>
      <w:smallCaps/>
    </w:rPr>
  </w:style>
  <w:style w:type="character" w:customStyle="1" w:styleId="Buttons">
    <w:name w:val="Buttons"/>
    <w:basedOn w:val="DefaultParagraphFont"/>
    <w:rsid w:val="002764F2"/>
    <w:rPr>
      <w:b/>
    </w:rPr>
  </w:style>
  <w:style w:type="character" w:customStyle="1" w:styleId="Underlined">
    <w:name w:val="Underlined"/>
    <w:basedOn w:val="DefaultParagraphFont"/>
    <w:rsid w:val="002764F2"/>
    <w:rPr>
      <w:u w:val="single"/>
    </w:rPr>
  </w:style>
  <w:style w:type="paragraph" w:customStyle="1" w:styleId="TableBodyTextRight">
    <w:name w:val="Table Body Text Right"/>
    <w:basedOn w:val="TableBodyText"/>
    <w:rsid w:val="002764F2"/>
    <w:pPr>
      <w:widowControl w:val="0"/>
      <w:autoSpaceDE w:val="0"/>
      <w:autoSpaceDN w:val="0"/>
      <w:adjustRightInd w:val="0"/>
      <w:jc w:val="right"/>
    </w:pPr>
    <w:rPr>
      <w:rFonts w:cs="Arial"/>
      <w:szCs w:val="18"/>
    </w:rPr>
  </w:style>
  <w:style w:type="paragraph" w:customStyle="1" w:styleId="CopyrightText">
    <w:name w:val="Copyright Text"/>
    <w:basedOn w:val="BodyText"/>
    <w:rsid w:val="002764F2"/>
    <w:rPr>
      <w:sz w:val="18"/>
    </w:rPr>
  </w:style>
  <w:style w:type="paragraph" w:customStyle="1" w:styleId="BodySmallRight">
    <w:name w:val="Body Small Right"/>
    <w:basedOn w:val="BodyTextRight"/>
    <w:rsid w:val="002764F2"/>
    <w:rPr>
      <w:sz w:val="18"/>
      <w:szCs w:val="18"/>
    </w:rPr>
  </w:style>
  <w:style w:type="paragraph" w:customStyle="1" w:styleId="MarginEdition">
    <w:name w:val="Margin Edition"/>
    <w:basedOn w:val="MarginNote"/>
    <w:rsid w:val="002764F2"/>
    <w:pPr>
      <w:spacing w:before="0" w:after="0"/>
    </w:pPr>
    <w:rPr>
      <w:rFonts w:ascii="Times New Roman" w:hAnsi="Times New Roman"/>
      <w:color w:val="999999"/>
    </w:rPr>
  </w:style>
  <w:style w:type="paragraph" w:customStyle="1" w:styleId="Spacer">
    <w:name w:val="Spacer"/>
    <w:basedOn w:val="Normal"/>
    <w:rsid w:val="002764F2"/>
    <w:rPr>
      <w:sz w:val="2"/>
      <w:szCs w:val="2"/>
    </w:rPr>
  </w:style>
  <w:style w:type="character" w:customStyle="1" w:styleId="Small">
    <w:name w:val="Small"/>
    <w:basedOn w:val="DefaultParagraphFont"/>
    <w:rsid w:val="002764F2"/>
    <w:rPr>
      <w:sz w:val="16"/>
    </w:rPr>
  </w:style>
  <w:style w:type="paragraph" w:customStyle="1" w:styleId="WideTable">
    <w:name w:val="Wide Table"/>
    <w:basedOn w:val="Normal"/>
    <w:rsid w:val="002764F2"/>
    <w:pPr>
      <w:ind w:left="-1418"/>
    </w:pPr>
    <w:rPr>
      <w:sz w:val="2"/>
      <w:szCs w:val="2"/>
    </w:rPr>
  </w:style>
  <w:style w:type="character" w:styleId="PageNumber">
    <w:name w:val="page number"/>
    <w:basedOn w:val="DefaultParagraphFont"/>
    <w:rsid w:val="002764F2"/>
  </w:style>
  <w:style w:type="paragraph" w:styleId="Quote">
    <w:name w:val="Quote"/>
    <w:basedOn w:val="Heading1"/>
    <w:link w:val="QuoteChar"/>
    <w:qFormat/>
    <w:rsid w:val="002764F2"/>
    <w:rPr>
      <w:b w:val="0"/>
      <w:sz w:val="72"/>
      <w:szCs w:val="72"/>
      <w:lang w:val="en-NZ"/>
    </w:rPr>
  </w:style>
  <w:style w:type="character" w:customStyle="1" w:styleId="QuoteChar">
    <w:name w:val="Quote Char"/>
    <w:basedOn w:val="DefaultParagraphFont"/>
    <w:link w:val="Quote"/>
    <w:rsid w:val="00276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4F2"/>
    <w:pPr>
      <w:pageBreakBefore/>
    </w:pPr>
  </w:style>
  <w:style w:type="paragraph" w:customStyle="1" w:styleId="Border">
    <w:name w:val="Border"/>
    <w:basedOn w:val="Normal"/>
    <w:qFormat/>
    <w:rsid w:val="00276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4F2"/>
    <w:rPr>
      <w:b/>
      <w:bCs/>
      <w:i/>
      <w:iCs/>
      <w:color w:val="auto"/>
    </w:rPr>
  </w:style>
  <w:style w:type="paragraph" w:styleId="IntenseQuote">
    <w:name w:val="Intense Quote"/>
    <w:basedOn w:val="Normal"/>
    <w:next w:val="Normal"/>
    <w:link w:val="IntenseQuoteChar"/>
    <w:uiPriority w:val="30"/>
    <w:qFormat/>
    <w:rsid w:val="00276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4F2"/>
    <w:rPr>
      <w:smallCaps/>
      <w:color w:val="auto"/>
      <w:u w:val="single"/>
    </w:rPr>
  </w:style>
  <w:style w:type="character" w:styleId="IntenseReference">
    <w:name w:val="Intense Reference"/>
    <w:basedOn w:val="DefaultParagraphFont"/>
    <w:uiPriority w:val="32"/>
    <w:qFormat/>
    <w:rsid w:val="002764F2"/>
    <w:rPr>
      <w:b/>
      <w:bCs/>
      <w:smallCaps/>
      <w:color w:val="auto"/>
      <w:spacing w:val="5"/>
      <w:u w:val="single"/>
    </w:rPr>
  </w:style>
  <w:style w:type="paragraph" w:customStyle="1" w:styleId="2ColumnHeading">
    <w:name w:val="2Column Heading"/>
    <w:basedOn w:val="BodyText"/>
    <w:qFormat/>
    <w:rsid w:val="002764F2"/>
    <w:pPr>
      <w:spacing w:after="60"/>
      <w:ind w:left="-2268"/>
    </w:pPr>
    <w:rPr>
      <w:b/>
    </w:rPr>
  </w:style>
  <w:style w:type="paragraph" w:customStyle="1" w:styleId="Heading1TOC">
    <w:name w:val="Heading1 TOC"/>
    <w:basedOn w:val="Normal"/>
    <w:qFormat/>
    <w:rsid w:val="002764F2"/>
    <w:pPr>
      <w:spacing w:before="240" w:after="120"/>
    </w:pPr>
    <w:rPr>
      <w:rFonts w:ascii="Times New Roman" w:hAnsi="Times New Roman"/>
      <w:b/>
      <w:sz w:val="32"/>
    </w:rPr>
  </w:style>
  <w:style w:type="paragraph" w:customStyle="1" w:styleId="Heading2TOC">
    <w:name w:val="Heading2 TOC"/>
    <w:basedOn w:val="Normal"/>
    <w:qFormat/>
    <w:rsid w:val="002764F2"/>
    <w:pPr>
      <w:spacing w:before="240" w:after="60"/>
    </w:pPr>
    <w:rPr>
      <w:rFonts w:ascii="Times New Roman" w:hAnsi="Times New Roman"/>
      <w:b/>
      <w:sz w:val="28"/>
    </w:rPr>
  </w:style>
  <w:style w:type="character" w:customStyle="1" w:styleId="Underline">
    <w:name w:val="Underline"/>
    <w:basedOn w:val="DefaultParagraphFont"/>
    <w:qFormat/>
    <w:rsid w:val="002764F2"/>
    <w:rPr>
      <w:u w:val="single"/>
    </w:rPr>
  </w:style>
  <w:style w:type="character" w:customStyle="1" w:styleId="BoldandItalics">
    <w:name w:val="Bold and Italics"/>
    <w:qFormat/>
    <w:rsid w:val="002764F2"/>
    <w:rPr>
      <w:b/>
      <w:i/>
      <w:u w:val="none"/>
    </w:rPr>
  </w:style>
  <w:style w:type="paragraph" w:styleId="BalloonText">
    <w:name w:val="Balloon Text"/>
    <w:basedOn w:val="Normal"/>
    <w:link w:val="BalloonTextChar"/>
    <w:rsid w:val="002764F2"/>
    <w:rPr>
      <w:rFonts w:ascii="Tahoma" w:hAnsi="Tahoma" w:cs="Tahoma"/>
      <w:sz w:val="16"/>
      <w:szCs w:val="16"/>
    </w:rPr>
  </w:style>
  <w:style w:type="character" w:customStyle="1" w:styleId="BalloonTextChar">
    <w:name w:val="Balloon Text Char"/>
    <w:basedOn w:val="DefaultParagraphFont"/>
    <w:link w:val="BalloonText"/>
    <w:rsid w:val="00276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4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4F2"/>
    <w:rPr>
      <w:b/>
      <w:color w:val="660033"/>
      <w:spacing w:val="0"/>
    </w:rPr>
  </w:style>
  <w:style w:type="paragraph" w:customStyle="1" w:styleId="Nameditemlist">
    <w:name w:val="Named item list"/>
    <w:basedOn w:val="BodyText"/>
    <w:qFormat/>
    <w:rsid w:val="002764F2"/>
    <w:pPr>
      <w:tabs>
        <w:tab w:val="left" w:pos="2835"/>
      </w:tabs>
      <w:ind w:left="2835" w:hanging="2835"/>
    </w:pPr>
  </w:style>
  <w:style w:type="paragraph" w:customStyle="1" w:styleId="BodyTextnopadding">
    <w:name w:val="Body Text no padding"/>
    <w:basedOn w:val="BodyText"/>
    <w:qFormat/>
    <w:rsid w:val="002764F2"/>
    <w:pPr>
      <w:spacing w:before="0" w:after="0"/>
    </w:pPr>
  </w:style>
  <w:style w:type="paragraph" w:customStyle="1" w:styleId="BodyTextBold">
    <w:name w:val="Body Text Bold"/>
    <w:basedOn w:val="BodyText"/>
    <w:qFormat/>
    <w:rsid w:val="002764F2"/>
    <w:rPr>
      <w:b/>
    </w:rPr>
  </w:style>
  <w:style w:type="character" w:styleId="Hyperlink">
    <w:name w:val="Hyperlink"/>
    <w:basedOn w:val="DefaultParagraphFont"/>
    <w:uiPriority w:val="99"/>
    <w:unhideWhenUsed/>
    <w:rsid w:val="00547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7409</Characters>
  <Application>Microsoft Office Word</Application>
  <DocSecurity>0</DocSecurity>
  <Lines>352</Lines>
  <Paragraphs>193</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MEM18085 Install, service and repair domestic air conditioning and refrigeration appliances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