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257" w:rsidP="000B0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MEM18084 Commission and decommission split air conditioning systems</w:t>
      </w:r>
      <w:r>
        <w:fldChar w:fldCharType="end"/>
      </w:r>
    </w:p>
    <w:p w:rsidR="000B0257" w:rsidP="000B0257">
      <w:pPr>
        <w:pStyle w:val="Version"/>
        <w:sectPr w:rsidSect="005D0D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D80" w:rsidP="005D0D80">
      <w:pPr>
        <w:pStyle w:val="SuperHeading"/>
      </w:pPr>
      <w:r w:rsidRPr="005D0D80">
        <w:t>MEM18084 Commission and decommission split air conditioning systems</w:t>
      </w:r>
    </w:p>
    <w:p w:rsidR="00000000" w:rsidRPr="005D0D80" w:rsidP="005D0D80">
      <w:pPr>
        <w:pStyle w:val="Heading1"/>
      </w:pPr>
      <w:bookmarkStart w:id="1" w:name="O_941636"/>
      <w:bookmarkEnd w:id="1"/>
      <w:r w:rsidRPr="005D0D80">
        <w:t>Modification History</w:t>
      </w:r>
    </w:p>
    <w:p w:rsidR="00000000" w:rsidRPr="005D0D80" w:rsidP="000B0257">
      <w:pPr>
        <w:pStyle w:val="BodyText"/>
      </w:pPr>
      <w:r w:rsidRPr="005D0D80">
        <w:t xml:space="preserve">Release 1. Supersedes and is equivalent to MEM18084A Commission and decommission split air conditioning systems </w:t>
      </w:r>
    </w:p>
    <w:p w:rsidR="00000000" w:rsidRPr="005D0D80" w:rsidP="005D0D80">
      <w:pPr>
        <w:pStyle w:val="Heading1"/>
      </w:pPr>
      <w:bookmarkStart w:id="2" w:name="O_941644"/>
      <w:bookmarkEnd w:id="2"/>
      <w:r w:rsidRPr="005D0D80">
        <w:t>Application</w:t>
      </w:r>
    </w:p>
    <w:p w:rsidR="00000000" w:rsidRPr="005D0D80" w:rsidP="000B0257">
      <w:pPr>
        <w:pStyle w:val="BodyText"/>
      </w:pPr>
      <w:r w:rsidRPr="005D0D80">
        <w:t>Thi</w:t>
      </w:r>
      <w:r w:rsidRPr="005D0D80">
        <w:t>s unit of competency defines the skills and knowledge required to commission and decommission single head split air conditioning systems, up to 18kW, to relevant standards, codes and local regulations.</w:t>
      </w:r>
    </w:p>
    <w:p w:rsidR="00000000" w:rsidRPr="005D0D80" w:rsidP="000B0257">
      <w:pPr>
        <w:pStyle w:val="BodyText"/>
      </w:pPr>
      <w:r w:rsidRPr="005D0D80">
        <w:t>It includes the application of safe working practices</w:t>
      </w:r>
      <w:r w:rsidRPr="005D0D80">
        <w:t xml:space="preserve">, following standard procedures to pressure test, evacuate, recover, charge and perform functional checks to test system performance. </w:t>
      </w:r>
    </w:p>
    <w:p w:rsidR="00000000" w:rsidRPr="005D0D80" w:rsidP="000B0257">
      <w:pPr>
        <w:pStyle w:val="BodyText"/>
      </w:pPr>
      <w:r w:rsidRPr="005D0D80">
        <w:t xml:space="preserve">This unit refers to plug in appliances only. </w:t>
      </w:r>
    </w:p>
    <w:p w:rsidR="00000000" w:rsidRPr="005D0D80" w:rsidP="000B0257">
      <w:pPr>
        <w:pStyle w:val="BodyText"/>
      </w:pPr>
      <w:r w:rsidRPr="005D0D80">
        <w:t>A Refrigerant Handling Licence must be held by any person who carries out</w:t>
      </w:r>
      <w:r w:rsidRPr="005D0D80">
        <w:t xml:space="preserve"> work in relation to refrigeration and air conditioning equipment. </w:t>
      </w:r>
    </w:p>
    <w:p w:rsidR="00000000" w:rsidRPr="005D0D80" w:rsidP="005D0D80">
      <w:pPr>
        <w:pStyle w:val="BodyText"/>
      </w:pPr>
      <w:r w:rsidRPr="005D0D80">
        <w:rPr>
          <w:rStyle w:val="SpecialBold"/>
        </w:rPr>
        <w:t>Band</w:t>
      </w:r>
      <w:r w:rsidRPr="005D0D80">
        <w:t>:</w:t>
      </w:r>
      <w:r w:rsidRPr="005D0D80">
        <w:tab/>
      </w:r>
      <w:r w:rsidRPr="005D0D80">
        <w:rPr>
          <w:rStyle w:val="SpecialBold"/>
        </w:rPr>
        <w:t>A</w:t>
      </w:r>
    </w:p>
    <w:p w:rsidR="00000000" w:rsidRPr="005D0D80" w:rsidP="005D0D80">
      <w:pPr>
        <w:pStyle w:val="BodyText"/>
      </w:pPr>
      <w:r w:rsidRPr="005D0D80">
        <w:rPr>
          <w:rStyle w:val="SpecialBold"/>
        </w:rPr>
        <w:t>Unit Weight</w:t>
      </w:r>
      <w:r w:rsidRPr="005D0D80">
        <w:t>:</w:t>
      </w:r>
      <w:r w:rsidRPr="005D0D80">
        <w:tab/>
      </w:r>
      <w:r w:rsidRPr="005D0D80">
        <w:rPr>
          <w:rStyle w:val="SpecialBold"/>
        </w:rPr>
        <w:t>4</w:t>
      </w:r>
    </w:p>
    <w:p w:rsidR="00000000" w:rsidRPr="005D0D80" w:rsidP="005D0D80">
      <w:pPr>
        <w:pStyle w:val="AllowPageBreak"/>
      </w:pPr>
    </w:p>
    <w:p w:rsidR="00000000" w:rsidRPr="005D0D80" w:rsidP="005D0D80">
      <w:pPr>
        <w:pStyle w:val="Heading1"/>
      </w:pPr>
      <w:bookmarkStart w:id="3" w:name="O_941643"/>
      <w:bookmarkEnd w:id="3"/>
      <w:r w:rsidRPr="005D0D8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MEM09002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Interpret technical drawing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Undertake manual handling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MEM12023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Perform engineering measurements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MEM12024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Perform computations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Work safely and effectively in manufacturing and engineering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Organise and communicate information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MEM18001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Use hand tools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MEM18002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Use power tools/hand held operations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MEM18055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BodyText"/>
            </w:pPr>
            <w:r w:rsidRPr="005D0D80">
              <w:t>Dismantle, replace and assemble eng</w:t>
            </w:r>
            <w:r w:rsidRPr="005D0D80">
              <w:t>ineering components</w:t>
            </w:r>
          </w:p>
        </w:tc>
      </w:tr>
    </w:tbl>
    <w:p w:rsidR="00000000" w:rsidRPr="005D0D80" w:rsidP="005D0D80">
      <w:pPr>
        <w:pStyle w:val="BodyText"/>
      </w:pPr>
    </w:p>
    <w:p w:rsidR="00000000" w:rsidRPr="005D0D80" w:rsidP="005D0D80">
      <w:pPr>
        <w:pStyle w:val="AllowPageBreak"/>
      </w:pPr>
    </w:p>
    <w:p w:rsidR="00000000" w:rsidRPr="005D0D80" w:rsidP="005D0D80">
      <w:pPr>
        <w:pStyle w:val="Heading1"/>
      </w:pPr>
      <w:bookmarkStart w:id="4" w:name="O_941642"/>
      <w:bookmarkEnd w:id="4"/>
      <w:r w:rsidRPr="005D0D80">
        <w:t>Competency Field</w:t>
      </w:r>
    </w:p>
    <w:p w:rsidR="00000000" w:rsidRPr="005D0D80" w:rsidP="000B0257">
      <w:pPr>
        <w:pStyle w:val="BodyText"/>
      </w:pPr>
      <w:r w:rsidRPr="005D0D80">
        <w:t>Maintenance and diagnostics</w:t>
      </w:r>
    </w:p>
    <w:p w:rsidR="00000000" w:rsidRPr="005D0D80" w:rsidP="005D0D80">
      <w:pPr>
        <w:pStyle w:val="Heading1"/>
      </w:pPr>
      <w:bookmarkStart w:id="5" w:name="O_941640"/>
      <w:bookmarkEnd w:id="5"/>
      <w:r w:rsidRPr="005D0D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Performance criteria describe the performance needed to demonstrate achievement of the element.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BodyText"/>
            </w:pPr>
            <w:r w:rsidRPr="005D0D80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Follow standard operating procedures (SOPs)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Comply with work health and safety (WHS) requirements at all times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Use appropriate personal protective equipment (PPE) in accordance with SOPs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Identify job requirements from specifications, drawings, job sheets or work instructions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BodyText"/>
            </w:pPr>
            <w:r w:rsidRPr="005D0D80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Determine the operating conditions of vapour compression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Determine the actual and specified range of operating conditions from measured and calculated values using established procedures to determine as they apply to particular vapour compression systems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Establish operating conditions and record on commissioning documentation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Obtain tools, equipment and testing devices needed to determine the basic operating conditions and check for correct operation and safety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BodyText"/>
            </w:pPr>
            <w:r w:rsidRPr="005D0D80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Recover refrigerants from split air conditioning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Check for, and protect site from, ignition sources if R32 or other flammable refrigerants are used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Isolate circuits/appliances in strict accordance with work health and safety (WHS) requir</w:t>
            </w:r>
            <w:r w:rsidRPr="005D0D80">
              <w:t>ements and procedures, where necessary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 xml:space="preserve">Remove refrigerants safely into suitably labelled containers in accordance with legislative and industry requirements 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Deal with contaminated refrigerant in accordance with requirements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BodyText"/>
            </w:pPr>
            <w:r w:rsidRPr="005D0D80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Pressure and leak test split   air conditioning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Identify and note safety hazards and implement established risk control measures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Follow industry codes of practice and manufacturer installation instructions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Take precautions to prev</w:t>
            </w:r>
            <w:r w:rsidRPr="005D0D80">
              <w:t>ent damage to components while pressure testing the system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Conduct pressure testing at a pressure compatible with the refrigerant to be used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Located leak, isolate and repair using methods appropriate to the system type under test and in accordance with industry practices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BodyText"/>
            </w:pPr>
            <w:r w:rsidRPr="005D0D80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Evacuate split air conditioning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Note safety hazards which have not previous</w:t>
            </w:r>
            <w:r w:rsidRPr="005D0D80">
              <w:t>ly been identified, and implement established risk control measures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Evacuate the system to the required level and clean the system of all moisture and other containments in accordance with requirements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Apply a standing vacuum test in accordan</w:t>
            </w:r>
            <w:r w:rsidRPr="005D0D80">
              <w:t>ce with industry codes of practice and applicable standards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BodyText"/>
            </w:pPr>
            <w:r w:rsidRPr="005D0D80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Charge split air conditioning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Select correct refrigerant for the system, in accordance with manufacturer requirements and industry practices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Measure the refrigerant charge by weight in accordance with manufacturer specifications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6.3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Charge the system in accordance with manufacturer requirements and industry practices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6.4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Check all components and maintain in accordance with manufacturer requirements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BodyText"/>
            </w:pPr>
            <w:r w:rsidRPr="005D0D80">
              <w:t>7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Test the operation of split air conditioning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7.1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 xml:space="preserve">Start and operate the system 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7.2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Carry out standard tests to confirm system performance to manufacturer specifications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7.3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Check the refrigerant charge and add refrigerant, if required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7.4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 xml:space="preserve">Leak check the system 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7.5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Record test data, as required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BodyText"/>
            </w:pPr>
            <w:r w:rsidRPr="005D0D80">
              <w:t>8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Complete the commissioning/ recommissioning of split air conditioning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8.1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 xml:space="preserve">Ensure the worksite is cleaned and left in presentable condition in accordance with original presentation, client requirements, industry standards and organisational </w:t>
            </w:r>
            <w:r w:rsidRPr="005D0D80">
              <w:t>requirements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8.2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Undertake final inspections to ensure installation conforms to industry, legislative and work order requirements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8.3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Instruct the client on the use of the product in accordance with organisational requirements and manufacturer specif</w:t>
            </w:r>
            <w:r w:rsidRPr="005D0D80">
              <w:t>ications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8.4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Complete certificates of compliance and other relevant commissioning documentation and process in accordance with state/territory regulatory requirements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BodyText"/>
            </w:pPr>
            <w:r w:rsidRPr="005D0D80">
              <w:t>9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Decommission split air conditioning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9.1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 xml:space="preserve">Electrically disconnect plug in appliance 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9.2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Recover refrigerants, store and dispose of in accordance with legislative and industry requirements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9.3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Remove units and components and dispos</w:t>
            </w:r>
            <w:r w:rsidRPr="005D0D80">
              <w:t>e of safely and in accordance with regulations, industry codes of practice and sustainable environmental practices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9.4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Clean the worksite and leave in presentable condition, to client and organisational requirements, industry standards and sustainable e</w:t>
            </w:r>
            <w:r w:rsidRPr="005D0D80">
              <w:t>nvironmental practices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9.5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BodyText"/>
            </w:pPr>
            <w:r w:rsidRPr="005D0D80">
              <w:t>Complete decommissioning documentation and process in accordance with state/territory regulatory requirements</w:t>
            </w:r>
          </w:p>
        </w:tc>
      </w:tr>
    </w:tbl>
    <w:p w:rsidR="00000000" w:rsidRPr="005D0D80" w:rsidP="005D0D80">
      <w:pPr>
        <w:pStyle w:val="BodyText"/>
      </w:pPr>
    </w:p>
    <w:p w:rsidR="00000000" w:rsidRPr="005D0D80" w:rsidP="005D0D80">
      <w:pPr>
        <w:pStyle w:val="AllowPageBreak"/>
      </w:pPr>
    </w:p>
    <w:p w:rsidR="00000000" w:rsidRPr="005D0D80" w:rsidP="005D0D80">
      <w:pPr>
        <w:pStyle w:val="Heading1"/>
      </w:pPr>
      <w:bookmarkStart w:id="6" w:name="O_941639"/>
      <w:bookmarkEnd w:id="6"/>
      <w:r w:rsidRPr="005D0D80">
        <w:t>Foundation Skills</w:t>
      </w:r>
    </w:p>
    <w:p w:rsidR="00000000" w:rsidRPr="005D0D80" w:rsidP="000B0257">
      <w:pPr>
        <w:pStyle w:val="BodyText"/>
      </w:pPr>
      <w:r w:rsidRPr="005D0D8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D0D80" w:rsidP="000B0257">
      <w:pPr>
        <w:pStyle w:val="BodyText"/>
      </w:pPr>
      <w:r w:rsidRPr="005D0D80">
        <w:t xml:space="preserve">Foundation skills essential to performance are explicit in the performance criteria </w:t>
      </w:r>
      <w:r w:rsidRPr="005D0D80">
        <w:t>of this unit of competency.</w:t>
      </w:r>
    </w:p>
    <w:p w:rsidR="00000000" w:rsidRPr="005D0D80" w:rsidP="005D0D80">
      <w:pPr>
        <w:pStyle w:val="Heading1"/>
      </w:pPr>
      <w:bookmarkStart w:id="7" w:name="O_941638"/>
      <w:bookmarkEnd w:id="7"/>
      <w:r w:rsidRPr="005D0D8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6558"/>
      </w:tblGrid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t>This field allows for different work environments and conditions that may affect performance. Essential operating conditions that may be present (depending on the work situation, needs of the</w:t>
            </w:r>
            <w:r w:rsidRPr="005D0D80">
              <w:t xml:space="preserve"> candidate, accessibility of the item, and local industry and regional contexts) are included.</w:t>
            </w: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Tools</w:t>
            </w:r>
            <w:r w:rsidRPr="005D0D80">
              <w:t xml:space="preserve">, </w:t>
            </w:r>
            <w:r w:rsidRPr="005D0D80">
              <w:rPr>
                <w:rStyle w:val="SpecialBold"/>
              </w:rPr>
              <w:t>equipment and testing devices include one (1) or more of the following:</w:t>
            </w:r>
          </w:p>
        </w:tc>
        <w:tc>
          <w:tcPr>
            <w:tcW w:w="6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ListBullet"/>
            </w:pPr>
            <w:r w:rsidRPr="005D0D80">
              <w:t>refrigeration gauge manifold</w:t>
            </w:r>
          </w:p>
          <w:p w:rsidR="00000000" w:rsidRPr="005D0D80" w:rsidP="005D0D80">
            <w:pPr>
              <w:pStyle w:val="ListBullet"/>
            </w:pPr>
            <w:r w:rsidRPr="005D0D80">
              <w:t>Schraeder access valves; quick connect couplings, and thermometer/thermocouple temperature measuring devices</w:t>
            </w:r>
          </w:p>
          <w:p w:rsidR="00000000" w:rsidRPr="005D0D80" w:rsidP="005D0D80">
            <w:pPr>
              <w:pStyle w:val="ListBullet"/>
            </w:pPr>
            <w:r w:rsidRPr="005D0D80">
              <w:t>analogue and digital vacuum measuring gauges</w:t>
            </w:r>
          </w:p>
          <w:p w:rsidR="00000000" w:rsidRPr="005D0D80" w:rsidP="005D0D80">
            <w:pPr>
              <w:pStyle w:val="ListBullet"/>
            </w:pPr>
            <w:r w:rsidRPr="005D0D80">
              <w:t>digital scales</w:t>
            </w:r>
          </w:p>
          <w:p w:rsidR="00000000" w:rsidRPr="005D0D80" w:rsidP="005D0D80">
            <w:pPr>
              <w:pStyle w:val="ListBullet"/>
            </w:pPr>
            <w:r w:rsidRPr="005D0D80">
              <w:t>refrigerant recovery unit</w:t>
            </w:r>
          </w:p>
          <w:p w:rsidR="00000000" w:rsidRPr="005D0D80" w:rsidP="005D0D80">
            <w:pPr>
              <w:pStyle w:val="ListBullet"/>
            </w:pPr>
            <w:r w:rsidRPr="005D0D80">
              <w:t>vacuum pump</w:t>
            </w:r>
          </w:p>
          <w:p w:rsidR="00000000" w:rsidRPr="005D0D80" w:rsidP="005D0D80">
            <w:pPr>
              <w:pStyle w:val="ListBullet"/>
            </w:pPr>
            <w:r w:rsidRPr="005D0D80">
              <w:t>electronic leak detectors</w:t>
            </w:r>
          </w:p>
          <w:p w:rsidR="00000000" w:rsidRPr="005D0D80" w:rsidP="005D0D80">
            <w:pPr>
              <w:pStyle w:val="ListBullet"/>
            </w:pPr>
            <w:r w:rsidRPr="005D0D80">
              <w:t>refrigerant containers/</w:t>
            </w:r>
            <w:r w:rsidRPr="005D0D80">
              <w:t>cylinders</w:t>
            </w:r>
          </w:p>
          <w:p w:rsidR="00000000" w:rsidP="005D0D80">
            <w:pPr>
              <w:pStyle w:val="BodyText"/>
              <w:rPr>
                <w:lang w:val="en-NZ"/>
              </w:rPr>
            </w:pP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Legislative and industry requirements include one (1) or more of the following:</w:t>
            </w:r>
          </w:p>
        </w:tc>
        <w:tc>
          <w:tcPr>
            <w:tcW w:w="6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ListBullet"/>
            </w:pPr>
            <w:r w:rsidRPr="005D0D80">
              <w:t>Commonwealth, state and territory legislation, regulations, standards and industry codes of practice</w:t>
            </w:r>
          </w:p>
          <w:p w:rsidR="00000000" w:rsidRPr="005D0D80" w:rsidP="005D0D80">
            <w:pPr>
              <w:pStyle w:val="ListBullet"/>
            </w:pPr>
            <w:r w:rsidRPr="005D0D80">
              <w:t>The Ozone Protect</w:t>
            </w:r>
            <w:r w:rsidRPr="005D0D80">
              <w:t>ion and Synthetic Greenhouse Gas Legislation Amendment Bill 2003</w:t>
            </w:r>
          </w:p>
          <w:p w:rsidR="00000000" w:rsidRPr="005D0D80" w:rsidP="005D0D80">
            <w:pPr>
              <w:pStyle w:val="ListBullet"/>
            </w:pPr>
            <w:r w:rsidRPr="005D0D80">
              <w:t xml:space="preserve">air conditioning residential best practice guidelines (AIRAH) </w:t>
            </w:r>
          </w:p>
          <w:p w:rsidR="00000000" w:rsidRPr="005D0D80" w:rsidP="005D0D80">
            <w:pPr>
              <w:pStyle w:val="ListBullet"/>
            </w:pPr>
            <w:r w:rsidRPr="005D0D80">
              <w:t>AIRAH flammable refrigerants fact sheets and guide</w:t>
            </w:r>
          </w:p>
          <w:p w:rsidR="00000000" w:rsidRPr="005D0D80" w:rsidP="005D0D80">
            <w:pPr>
              <w:pStyle w:val="ListBullet"/>
            </w:pPr>
            <w:r w:rsidRPr="005D0D80">
              <w:t>state/territory and local building regulations</w:t>
            </w:r>
          </w:p>
          <w:p w:rsidR="00000000" w:rsidRPr="005D0D80" w:rsidP="005D0D80">
            <w:pPr>
              <w:pStyle w:val="ListBullet"/>
            </w:pPr>
            <w:r w:rsidRPr="005D0D80">
              <w:t>sustainable environmental prac</w:t>
            </w:r>
            <w:r w:rsidRPr="005D0D80">
              <w:t xml:space="preserve">tices for commissioning and decommissioning split air conditioning </w:t>
            </w:r>
          </w:p>
          <w:p w:rsidR="00000000" w:rsidP="005D0D80">
            <w:pPr>
              <w:pStyle w:val="BodyText"/>
              <w:rPr>
                <w:lang w:val="en-NZ"/>
              </w:rPr>
            </w:pPr>
          </w:p>
        </w:tc>
      </w:tr>
      <w:tr w:rsidTr="005D0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D80">
            <w:pPr>
              <w:pStyle w:val="BodyText"/>
              <w:rPr>
                <w:lang w:val="en-NZ"/>
              </w:rPr>
            </w:pPr>
            <w:r w:rsidRPr="005D0D80">
              <w:rPr>
                <w:rStyle w:val="SpecialBold"/>
              </w:rPr>
              <w:t>System performance includes one (1) or more of the following:</w:t>
            </w:r>
          </w:p>
        </w:tc>
        <w:tc>
          <w:tcPr>
            <w:tcW w:w="6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D80" w:rsidP="005D0D80">
            <w:pPr>
              <w:pStyle w:val="ListBullet"/>
            </w:pPr>
            <w:r w:rsidRPr="005D0D80">
              <w:t>pressure</w:t>
            </w:r>
          </w:p>
          <w:p w:rsidR="00000000" w:rsidRPr="005D0D80" w:rsidP="005D0D80">
            <w:pPr>
              <w:pStyle w:val="ListBullet"/>
            </w:pPr>
            <w:r w:rsidRPr="005D0D80">
              <w:t>temperature</w:t>
            </w:r>
          </w:p>
          <w:p w:rsidR="00000000" w:rsidRPr="005D0D80" w:rsidP="005D0D80">
            <w:pPr>
              <w:pStyle w:val="ListBullet"/>
            </w:pPr>
            <w:r w:rsidRPr="005D0D80">
              <w:t>sub-cooling</w:t>
            </w:r>
          </w:p>
          <w:p w:rsidR="00000000" w:rsidRPr="005D0D80" w:rsidP="005D0D80">
            <w:pPr>
              <w:pStyle w:val="ListBullet"/>
            </w:pPr>
            <w:r w:rsidRPr="005D0D80">
              <w:t>superheating</w:t>
            </w:r>
          </w:p>
          <w:p w:rsidR="00000000" w:rsidRPr="005D0D80" w:rsidP="005D0D80">
            <w:pPr>
              <w:pStyle w:val="ListBullet"/>
            </w:pPr>
            <w:r w:rsidRPr="005D0D80">
              <w:t>evaporator coil to air temperature difference</w:t>
            </w:r>
          </w:p>
          <w:p w:rsidR="00000000" w:rsidRPr="005D0D80" w:rsidP="005D0D80">
            <w:pPr>
              <w:pStyle w:val="BodyText"/>
            </w:pPr>
          </w:p>
        </w:tc>
      </w:tr>
    </w:tbl>
    <w:p w:rsidR="00000000" w:rsidRPr="005D0D80" w:rsidP="005D0D80">
      <w:pPr>
        <w:pStyle w:val="BodyText"/>
      </w:pPr>
    </w:p>
    <w:p w:rsidR="00000000" w:rsidRPr="005D0D80" w:rsidP="005D0D80">
      <w:pPr>
        <w:pStyle w:val="AllowPageBreak"/>
      </w:pPr>
    </w:p>
    <w:p w:rsidR="00000000" w:rsidRPr="005D0D80" w:rsidP="005D0D80">
      <w:pPr>
        <w:pStyle w:val="Heading1"/>
      </w:pPr>
      <w:bookmarkStart w:id="8" w:name="O_941637"/>
      <w:bookmarkEnd w:id="8"/>
      <w:r w:rsidRPr="005D0D80">
        <w:t>Unit Mapping Information</w:t>
      </w:r>
    </w:p>
    <w:p w:rsidR="00000000" w:rsidRPr="005D0D80" w:rsidP="000B0257">
      <w:pPr>
        <w:pStyle w:val="BodyText"/>
      </w:pPr>
      <w:r w:rsidRPr="005D0D80">
        <w:t xml:space="preserve">Release 1. Supersedes and is equivalent to MEM18084A Commission and decommission split air conditioning systems </w:t>
      </w:r>
    </w:p>
    <w:p w:rsidR="00000000" w:rsidRPr="005D0D80" w:rsidP="005D0D80">
      <w:pPr>
        <w:pStyle w:val="Heading1"/>
      </w:pPr>
      <w:bookmarkStart w:id="9" w:name="O_941630"/>
      <w:bookmarkEnd w:id="9"/>
      <w:r w:rsidRPr="005D0D80">
        <w:t>Links</w:t>
      </w:r>
    </w:p>
    <w:p w:rsidR="00000000" w:rsidRPr="005D0D80" w:rsidP="000B0257">
      <w:pPr>
        <w:pStyle w:val="BodyText"/>
      </w:pPr>
      <w:r w:rsidRPr="005D0D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0322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D0D80" w:rsidP="000B0257">
      <w:pPr>
        <w:pStyle w:val="BodyText"/>
        <w:sectPr w:rsidSect="005D0D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0D80" w:rsidP="005D0D80">
      <w:pPr>
        <w:pStyle w:val="SuperHeading"/>
      </w:pPr>
      <w:r w:rsidRPr="005D0D80">
        <w:t xml:space="preserve">Assessment </w:t>
      </w:r>
      <w:r w:rsidRPr="005D0D80">
        <w:t>Requirements for MEM18084 Commission and decommission split air conditioning systems</w:t>
      </w:r>
    </w:p>
    <w:p w:rsidR="00000000" w:rsidRPr="005D0D80" w:rsidP="005D0D80">
      <w:pPr>
        <w:pStyle w:val="Heading1"/>
      </w:pPr>
      <w:bookmarkStart w:id="10" w:name="O_941632"/>
      <w:bookmarkEnd w:id="10"/>
      <w:r w:rsidRPr="005D0D80">
        <w:t>Modification History</w:t>
      </w:r>
    </w:p>
    <w:p w:rsidR="00000000" w:rsidRPr="005D0D80" w:rsidP="000B0257">
      <w:pPr>
        <w:pStyle w:val="BodyText"/>
      </w:pPr>
      <w:r w:rsidRPr="005D0D80">
        <w:t xml:space="preserve">Release 1. Supersedes and is equivalent to MEM18084A Commission and decommission split air conditioning systems </w:t>
      </w:r>
    </w:p>
    <w:p w:rsidR="00000000" w:rsidRPr="005D0D80" w:rsidP="005D0D80">
      <w:pPr>
        <w:pStyle w:val="Heading1"/>
      </w:pPr>
      <w:bookmarkStart w:id="11" w:name="O_941635"/>
      <w:bookmarkEnd w:id="11"/>
      <w:r w:rsidRPr="005D0D80">
        <w:t>Perf</w:t>
      </w:r>
      <w:r w:rsidRPr="005D0D80">
        <w:t>ormance Evidence</w:t>
      </w:r>
    </w:p>
    <w:p w:rsidR="00000000" w:rsidRPr="005D0D80" w:rsidP="000B0257">
      <w:pPr>
        <w:pStyle w:val="BodyText"/>
      </w:pPr>
      <w:r w:rsidRPr="005D0D80">
        <w:t>Evidence required to demonstrate competence in this unit must be relevant to and satisfy the requirements of the elements and performance criteria on at least two (2) occasions and include:</w:t>
      </w:r>
    </w:p>
    <w:p w:rsidR="00000000" w:rsidRPr="005D0D80" w:rsidP="005D0D80">
      <w:pPr>
        <w:pStyle w:val="ListBullet"/>
      </w:pPr>
      <w:r w:rsidRPr="005D0D80">
        <w:t xml:space="preserve">following work instructions, standard operating </w:t>
      </w:r>
      <w:r w:rsidRPr="005D0D80">
        <w:t xml:space="preserve">procedures (SOPs) and safe work practices </w:t>
      </w:r>
    </w:p>
    <w:p w:rsidR="00000000" w:rsidRPr="005D0D80" w:rsidP="005D0D80">
      <w:pPr>
        <w:pStyle w:val="ListBullet"/>
      </w:pPr>
      <w:r w:rsidRPr="005D0D80">
        <w:t>identifying and interpreting charts, lists, catalogues, specifications, legislative and industry requirements and drawings and obtaining relevant data with respect to commissioning and decommissioning split air co</w:t>
      </w:r>
      <w:r w:rsidRPr="005D0D80">
        <w:t>nditioning systems</w:t>
      </w:r>
    </w:p>
    <w:p w:rsidR="00000000" w:rsidRPr="005D0D80" w:rsidP="005D0D80">
      <w:pPr>
        <w:pStyle w:val="ListBullet"/>
      </w:pPr>
      <w:r w:rsidRPr="005D0D80">
        <w:t>checking system for correct operation using appropriate tools, techniques and equipment and comparing system and component performance/operation against specifications</w:t>
      </w:r>
    </w:p>
    <w:p w:rsidR="00000000" w:rsidRPr="005D0D80" w:rsidP="005D0D80">
      <w:pPr>
        <w:pStyle w:val="ListBullet"/>
      </w:pPr>
      <w:r w:rsidRPr="005D0D80">
        <w:t>isolating circuit and appliances in strict accordance with work healt</w:t>
      </w:r>
      <w:r w:rsidRPr="005D0D80">
        <w:t xml:space="preserve">h and safety (WHS) requirements and procedures, where necessary </w:t>
      </w:r>
    </w:p>
    <w:p w:rsidR="00000000" w:rsidRPr="005D0D80" w:rsidP="005D0D80">
      <w:pPr>
        <w:pStyle w:val="ListBullet"/>
      </w:pPr>
      <w:r w:rsidRPr="005D0D80">
        <w:t xml:space="preserve">identifying faulty components and non-compliances using appropriate tools, equipment and testing  </w:t>
      </w:r>
    </w:p>
    <w:p w:rsidR="00000000" w:rsidRPr="005D0D80" w:rsidP="005D0D80">
      <w:pPr>
        <w:pStyle w:val="ListBullet"/>
      </w:pPr>
      <w:r w:rsidRPr="005D0D80">
        <w:t>removing, containing and adding refrigerant safely in compliance with relevant Australian St</w:t>
      </w:r>
      <w:r w:rsidRPr="005D0D80">
        <w:t xml:space="preserve">andards or codes and regulations </w:t>
      </w:r>
    </w:p>
    <w:p w:rsidR="00000000" w:rsidRPr="005D0D80" w:rsidP="005D0D80">
      <w:pPr>
        <w:pStyle w:val="ListBullet"/>
      </w:pPr>
      <w:r w:rsidRPr="005D0D80">
        <w:t>pressure and leak testing split air conditioning systems at a pressure compatible with the refrigerant to be used and locating leaks, isolating and applying appropriate repairs, adjustments or remedial action to achieve sp</w:t>
      </w:r>
      <w:r w:rsidRPr="005D0D80">
        <w:t xml:space="preserve">ecifications </w:t>
      </w:r>
    </w:p>
    <w:p w:rsidR="00000000" w:rsidRPr="005D0D80" w:rsidP="005D0D80">
      <w:pPr>
        <w:pStyle w:val="ListBullet"/>
      </w:pPr>
      <w:r w:rsidRPr="005D0D80">
        <w:t xml:space="preserve">completing commissioning procedures, including undertaking final inspection, instructing the client and completing certificates of compliance and other relevant commissioning documentation and processes </w:t>
      </w:r>
    </w:p>
    <w:p w:rsidR="00000000" w:rsidRPr="005D0D80" w:rsidP="005D0D80">
      <w:pPr>
        <w:pStyle w:val="ListBullet"/>
      </w:pPr>
      <w:r w:rsidRPr="005D0D80">
        <w:t>decommissioning split air conditioning</w:t>
      </w:r>
      <w:r w:rsidRPr="005D0D80">
        <w:t xml:space="preserve"> – single head systems using sustainable environmental practices</w:t>
      </w:r>
    </w:p>
    <w:p w:rsidR="00000000" w:rsidRPr="005D0D80" w:rsidP="005D0D80">
      <w:pPr>
        <w:pStyle w:val="ListBullet"/>
      </w:pPr>
      <w:r w:rsidRPr="005D0D80">
        <w:t>completing all relevant commissioning and decommissioning documentation in accordance with state/territory regulatory requirements.</w:t>
      </w:r>
    </w:p>
    <w:p w:rsidR="00000000" w:rsidRPr="005D0D80" w:rsidP="005D0D80">
      <w:pPr>
        <w:pStyle w:val="AllowPageBreak"/>
      </w:pPr>
    </w:p>
    <w:p w:rsidR="00000000" w:rsidRPr="005D0D80" w:rsidP="005D0D80">
      <w:pPr>
        <w:pStyle w:val="Heading1"/>
      </w:pPr>
      <w:bookmarkStart w:id="12" w:name="O_941634"/>
      <w:bookmarkEnd w:id="12"/>
      <w:r w:rsidRPr="005D0D80">
        <w:t>Knowledge Evidence</w:t>
      </w:r>
    </w:p>
    <w:p w:rsidR="00000000" w:rsidRPr="005D0D80" w:rsidP="000B0257">
      <w:pPr>
        <w:pStyle w:val="BodyText"/>
      </w:pPr>
      <w:r w:rsidRPr="005D0D80">
        <w:t>Evidence required to demonstrate the required knowledge for this unit must be relevant to and satisfy the requirements of the elements and performance criteria and include knowledge of:</w:t>
      </w:r>
    </w:p>
    <w:p w:rsidR="00000000" w:rsidRPr="005D0D80" w:rsidP="005D0D80">
      <w:pPr>
        <w:pStyle w:val="ListBullet"/>
      </w:pPr>
      <w:r w:rsidRPr="005D0D80">
        <w:t>safe work practices and procedures and use of personal protective equ</w:t>
      </w:r>
      <w:r w:rsidRPr="005D0D80">
        <w:t>ipment (PPE)</w:t>
      </w:r>
    </w:p>
    <w:p w:rsidR="00000000" w:rsidRPr="005D0D80" w:rsidP="005D0D80">
      <w:pPr>
        <w:pStyle w:val="ListBullet"/>
      </w:pPr>
      <w:r w:rsidRPr="005D0D80">
        <w:t>applicable legislative and regulatory requirements, standards, codes, licensing requirements and sustainable environmental practices for commissioning and decommissioning systems</w:t>
      </w:r>
    </w:p>
    <w:p w:rsidR="00000000" w:rsidRPr="005D0D80" w:rsidP="005D0D80">
      <w:pPr>
        <w:pStyle w:val="ListBullet"/>
      </w:pPr>
      <w:r w:rsidRPr="005D0D80">
        <w:t xml:space="preserve">applicable procedures and legislative requirements for storage, </w:t>
      </w:r>
      <w:r w:rsidRPr="005D0D80">
        <w:t>handling and treatment of ozone depleting and synthetic greenhouse gas refrigerant</w:t>
      </w:r>
    </w:p>
    <w:p w:rsidR="00000000" w:rsidRPr="005D0D80" w:rsidP="005D0D80">
      <w:pPr>
        <w:pStyle w:val="ListBullet"/>
      </w:pPr>
      <w:r w:rsidRPr="005D0D80">
        <w:t>applicable procedures for working with R32 and other flammable refrigerants where used in split air conditioning systems</w:t>
      </w:r>
    </w:p>
    <w:p w:rsidR="00000000" w:rsidRPr="005D0D80" w:rsidP="005D0D80">
      <w:pPr>
        <w:pStyle w:val="ListBullet"/>
      </w:pPr>
      <w:r w:rsidRPr="005D0D80">
        <w:t>typical work environments, demands and consideration</w:t>
      </w:r>
      <w:r w:rsidRPr="005D0D80">
        <w:t>s</w:t>
      </w:r>
    </w:p>
    <w:p w:rsidR="00000000" w:rsidRPr="005D0D80" w:rsidP="005D0D80">
      <w:pPr>
        <w:pStyle w:val="ListBullet"/>
      </w:pPr>
      <w:r w:rsidRPr="005D0D80">
        <w:t>specifications, operational characteristics and process for identifying system components</w:t>
      </w:r>
    </w:p>
    <w:p w:rsidR="00000000" w:rsidRPr="005D0D80" w:rsidP="005D0D80">
      <w:pPr>
        <w:pStyle w:val="ListBullet"/>
      </w:pPr>
      <w:r w:rsidRPr="005D0D80">
        <w:t>typical problems, contingencies and solutions</w:t>
      </w:r>
    </w:p>
    <w:p w:rsidR="00000000" w:rsidRPr="005D0D80" w:rsidP="005D0D80">
      <w:pPr>
        <w:pStyle w:val="ListBullet"/>
      </w:pPr>
      <w:r w:rsidRPr="005D0D80">
        <w:t>applicable tools, equipment and testing devices and their operation</w:t>
      </w:r>
    </w:p>
    <w:p w:rsidR="00000000" w:rsidRPr="005D0D80" w:rsidP="005D0D80">
      <w:pPr>
        <w:pStyle w:val="ListBullet"/>
      </w:pPr>
      <w:r w:rsidRPr="005D0D80">
        <w:t>procedures for determining the actual and specifie</w:t>
      </w:r>
      <w:r w:rsidRPr="005D0D80">
        <w:t>d range of operating conditions from measured and calculated values as they apply to particular vapour compression systems</w:t>
      </w:r>
    </w:p>
    <w:p w:rsidR="00000000" w:rsidRPr="005D0D80" w:rsidP="005D0D80">
      <w:pPr>
        <w:pStyle w:val="ListBullet"/>
      </w:pPr>
      <w:r w:rsidRPr="005D0D80">
        <w:t>procedures for evacuating system, leak testing, adding refrigerant and checking air flow</w:t>
      </w:r>
    </w:p>
    <w:p w:rsidR="00000000" w:rsidRPr="005D0D80" w:rsidP="005D0D80">
      <w:pPr>
        <w:pStyle w:val="ListBullet"/>
      </w:pPr>
      <w:r w:rsidRPr="005D0D80">
        <w:t>requirements and procedures to isolate circu</w:t>
      </w:r>
      <w:r w:rsidRPr="005D0D80">
        <w:t>its/appliances</w:t>
      </w:r>
    </w:p>
    <w:p w:rsidR="00000000" w:rsidRPr="005D0D80" w:rsidP="005D0D80">
      <w:pPr>
        <w:pStyle w:val="ListBullet"/>
      </w:pPr>
      <w:r w:rsidRPr="005D0D80">
        <w:t>measuring instruments/equipment, specifications and procedures for checking temperature, system performance and components</w:t>
      </w:r>
    </w:p>
    <w:p w:rsidR="00000000" w:rsidRPr="005D0D80" w:rsidP="005D0D80">
      <w:pPr>
        <w:pStyle w:val="ListBullet"/>
      </w:pPr>
      <w:r w:rsidRPr="005D0D80">
        <w:t>process for identifying refrigerant type</w:t>
      </w:r>
    </w:p>
    <w:p w:rsidR="00000000" w:rsidRPr="005D0D80" w:rsidP="005D0D80">
      <w:pPr>
        <w:pStyle w:val="ListBullet"/>
      </w:pPr>
      <w:r w:rsidRPr="005D0D80">
        <w:t xml:space="preserve">types of commissioning documentation </w:t>
      </w:r>
    </w:p>
    <w:p w:rsidR="00000000" w:rsidRPr="005D0D80" w:rsidP="005D0D80">
      <w:pPr>
        <w:pStyle w:val="ListBullet"/>
      </w:pPr>
      <w:r w:rsidRPr="005D0D80">
        <w:t>requirements and procedures for reporti</w:t>
      </w:r>
      <w:r w:rsidRPr="005D0D80">
        <w:t>ng non-compliances completing documentation.</w:t>
      </w:r>
    </w:p>
    <w:p w:rsidR="00000000" w:rsidRPr="005D0D80" w:rsidP="005D0D80">
      <w:pPr>
        <w:pStyle w:val="AllowPageBreak"/>
      </w:pPr>
    </w:p>
    <w:p w:rsidR="00000000" w:rsidRPr="005D0D80" w:rsidP="005D0D80">
      <w:pPr>
        <w:pStyle w:val="Heading1"/>
      </w:pPr>
      <w:bookmarkStart w:id="13" w:name="O_941633"/>
      <w:bookmarkEnd w:id="13"/>
      <w:r w:rsidRPr="005D0D80">
        <w:t>Assessment Conditions</w:t>
      </w:r>
    </w:p>
    <w:p w:rsidR="00000000" w:rsidRPr="005D0D80" w:rsidP="005D0D80">
      <w:pPr>
        <w:pStyle w:val="ListBullet"/>
      </w:pPr>
      <w:r w:rsidRPr="005D0D80">
        <w:t>Assessors must:</w:t>
      </w:r>
    </w:p>
    <w:p w:rsidR="00000000" w:rsidRPr="005D0D80" w:rsidP="005D0D80">
      <w:pPr>
        <w:pStyle w:val="ListBullet2"/>
      </w:pPr>
      <w:r w:rsidRPr="005D0D80">
        <w:t>have vocational competency in commissioning and decommissioning split air conditioning systems at least to the level being assessed with relevant industry</w:t>
      </w:r>
      <w:r w:rsidRPr="005D0D80">
        <w:t xml:space="preserve"> knowledge and experience</w:t>
      </w:r>
    </w:p>
    <w:p w:rsidR="00000000" w:rsidRPr="005D0D80" w:rsidP="005D0D80">
      <w:pPr>
        <w:pStyle w:val="ListBullet2"/>
      </w:pPr>
      <w:r w:rsidRPr="005D0D80">
        <w:t xml:space="preserve">satisfy the assessor requirements in the </w:t>
      </w:r>
      <w:r w:rsidRPr="005D0D80">
        <w:rPr>
          <w:rStyle w:val="Emphasis"/>
        </w:rPr>
        <w:t xml:space="preserve">Standards for Registered Training Organisations 2015 </w:t>
      </w:r>
      <w:r w:rsidRPr="005D0D80">
        <w:t>or its replacement</w:t>
      </w:r>
      <w:r w:rsidRPr="005D0D80">
        <w:rPr>
          <w:rStyle w:val="Emphasis"/>
        </w:rPr>
        <w:t xml:space="preserve"> </w:t>
      </w:r>
      <w:r w:rsidRPr="005D0D80">
        <w:t xml:space="preserve">and comply with the </w:t>
      </w:r>
      <w:r w:rsidRPr="005D0D80">
        <w:rPr>
          <w:rStyle w:val="Emphasis"/>
        </w:rPr>
        <w:t xml:space="preserve">National Vocational Education and Training Regulator Act 2011, </w:t>
      </w:r>
      <w:r w:rsidRPr="005D0D80">
        <w:t>its replacement</w:t>
      </w:r>
      <w:r w:rsidRPr="005D0D80">
        <w:rPr>
          <w:rStyle w:val="Emphasis"/>
        </w:rPr>
        <w:t xml:space="preserve"> </w:t>
      </w:r>
      <w:r w:rsidRPr="005D0D80">
        <w:t>or equivalent legislation covering VET regulation in a non-referring state/territory as the case requires</w:t>
      </w:r>
    </w:p>
    <w:p w:rsidR="00000000" w:rsidRPr="005D0D80" w:rsidP="005D0D80">
      <w:pPr>
        <w:pStyle w:val="ListBullet"/>
      </w:pPr>
      <w:r w:rsidRPr="005D0D80">
        <w:t>Where possible assessment must occur in operational workplace situations. Where this is not possible or where personal safety or environmental damage</w:t>
      </w:r>
      <w:r w:rsidRPr="005D0D80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5D0D80">
        <w:t>t skills, contingency management skills and job role environment skills</w:t>
      </w:r>
    </w:p>
    <w:p w:rsidR="00000000" w:rsidRPr="005D0D80" w:rsidP="005D0D80">
      <w:pPr>
        <w:pStyle w:val="ListBullet"/>
      </w:pPr>
      <w:r w:rsidRPr="005D0D80">
        <w:t>Conditions for assessment must include access to all tools, equipment, materials and documentation required, including relevant workplace procedures, product and manufacturing specific</w:t>
      </w:r>
      <w:r w:rsidRPr="005D0D80">
        <w:t>ations</w:t>
      </w:r>
    </w:p>
    <w:p w:rsidR="00000000" w:rsidRPr="005D0D80" w:rsidP="005D0D80">
      <w:pPr>
        <w:pStyle w:val="ListBullet"/>
      </w:pPr>
      <w:r w:rsidRPr="005D0D80">
        <w:t>Assessment processes and techniques must be appropriate to the language, literacy and numeracy requirements of the work being performed and the needs of the candidate.</w:t>
      </w:r>
    </w:p>
    <w:p w:rsidR="00000000" w:rsidRPr="005D0D80" w:rsidP="005D0D80">
      <w:pPr>
        <w:pStyle w:val="AllowPageBreak"/>
      </w:pPr>
    </w:p>
    <w:p w:rsidR="00000000" w:rsidRPr="005D0D80" w:rsidP="005D0D80">
      <w:pPr>
        <w:pStyle w:val="Heading1"/>
      </w:pPr>
      <w:bookmarkStart w:id="14" w:name="O_941631"/>
      <w:bookmarkEnd w:id="14"/>
      <w:r w:rsidRPr="005D0D80">
        <w:t>Links</w:t>
      </w:r>
    </w:p>
    <w:p w:rsidR="00000000" w:rsidRPr="005D0D80" w:rsidP="000B0257">
      <w:pPr>
        <w:pStyle w:val="BodyText"/>
      </w:pPr>
      <w:r w:rsidRPr="005D0D80">
        <w:t>Companion Volume implementation guides are found in VETNet</w:t>
      </w:r>
      <w:r w:rsidRPr="005D0D80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0322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D0D80" w:rsidP="005D0D80"/>
    <w:sectPr w:rsidSect="005D0D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80" w:rsidRPr="000B0257" w:rsidP="000B0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57" w:rsidP="005D0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B0257" w:rsidP="005D0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B0257" w:rsidP="005D0D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80" w:rsidP="005D0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0257">
      <w:t>Approved</w:t>
    </w:r>
    <w:r w:rsidR="000B02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025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0257">
      <w:rPr>
        <w:noProof/>
      </w:rPr>
      <w:t>6</w:t>
    </w:r>
    <w:r>
      <w:rPr>
        <w:noProof/>
      </w:rPr>
      <w:fldChar w:fldCharType="end"/>
    </w:r>
  </w:p>
  <w:p w:rsidR="005D0D80" w:rsidP="005D0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02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0257">
      <w:t>Manufacturing Industry Skills Alliance</w:t>
    </w:r>
    <w:r w:rsidR="000B0257">
      <w:fldChar w:fldCharType="end"/>
    </w:r>
  </w:p>
  <w:p w:rsidR="005D0D80" w:rsidP="005D0D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D80" w:rsidRPr="000B0257" w:rsidP="000B0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257" w:rsidRPr="002D2AF8" w:rsidP="005D0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MEM18084 Commission and decommission split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0257" w:rsidP="005D0D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80" w:rsidRPr="002D2AF8" w:rsidP="005D0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0257">
      <w:t>MEM18084 Commission and decommission split air conditioning systems</w:t>
    </w:r>
    <w:r w:rsidR="000B02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0257">
      <w:rPr>
        <w:noProof/>
      </w:rPr>
      <w:t>1 March 2025</w:t>
    </w:r>
    <w:r>
      <w:fldChar w:fldCharType="end"/>
    </w:r>
  </w:p>
  <w:p w:rsidR="005D0D80" w:rsidP="005D0D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068E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8A3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9AE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D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D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D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D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D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D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D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D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D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D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D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D80"/>
  </w:style>
  <w:style w:type="character" w:customStyle="1" w:styleId="Heading1Char">
    <w:name w:val="Heading 1 Char"/>
    <w:basedOn w:val="DefaultParagraphFont"/>
    <w:link w:val="Heading1"/>
    <w:rsid w:val="005D0D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D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D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0D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0D80"/>
    <w:rPr>
      <w:b/>
      <w:spacing w:val="0"/>
    </w:rPr>
  </w:style>
  <w:style w:type="paragraph" w:styleId="ListBullet2">
    <w:name w:val="List Bullet 2"/>
    <w:basedOn w:val="List2"/>
    <w:rsid w:val="005D0D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0D80"/>
    <w:rPr>
      <w:i/>
    </w:rPr>
  </w:style>
  <w:style w:type="paragraph" w:customStyle="1" w:styleId="SuperHeading">
    <w:name w:val="SuperHeading"/>
    <w:basedOn w:val="Normal"/>
    <w:rsid w:val="005D0D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D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0D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D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D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D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D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D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D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D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D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D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D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D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D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D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0D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0D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D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D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D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0D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D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D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D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D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D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D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D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D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0D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D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D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D80"/>
  </w:style>
  <w:style w:type="paragraph" w:styleId="TableofFigures">
    <w:name w:val="table of figures"/>
    <w:basedOn w:val="Normal"/>
    <w:next w:val="Normal"/>
    <w:semiHidden/>
    <w:rsid w:val="005D0D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D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0D80"/>
    <w:rPr>
      <w:rFonts w:ascii="Wingdings" w:hAnsi="Wingdings"/>
    </w:rPr>
  </w:style>
  <w:style w:type="paragraph" w:customStyle="1" w:styleId="TableHeading">
    <w:name w:val="Table Heading"/>
    <w:basedOn w:val="HeadingBase"/>
    <w:rsid w:val="005D0D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D80"/>
    <w:rPr>
      <w:color w:val="0033CC"/>
      <w:u w:val="none"/>
    </w:rPr>
  </w:style>
  <w:style w:type="paragraph" w:customStyle="1" w:styleId="BodyTextRight">
    <w:name w:val="Body Text Right"/>
    <w:basedOn w:val="BodyText"/>
    <w:rsid w:val="005D0D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D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D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D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D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D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D80"/>
    <w:rPr>
      <w:sz w:val="32"/>
    </w:rPr>
  </w:style>
  <w:style w:type="paragraph" w:customStyle="1" w:styleId="HeadingProcedure">
    <w:name w:val="Heading Procedure"/>
    <w:basedOn w:val="HeadingBase"/>
    <w:next w:val="Normal"/>
    <w:rsid w:val="005D0D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D80"/>
    <w:pPr>
      <w:spacing w:before="60" w:after="60"/>
    </w:pPr>
  </w:style>
  <w:style w:type="paragraph" w:styleId="ListContinue">
    <w:name w:val="List Continue"/>
    <w:basedOn w:val="List"/>
    <w:rsid w:val="005D0D80"/>
    <w:pPr>
      <w:ind w:firstLine="0"/>
    </w:pPr>
  </w:style>
  <w:style w:type="paragraph" w:customStyle="1" w:styleId="ListNote">
    <w:name w:val="List Note"/>
    <w:basedOn w:val="List"/>
    <w:rsid w:val="005D0D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D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D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D80"/>
    <w:rPr>
      <w:rFonts w:ascii="Courier New" w:hAnsi="Courier New"/>
    </w:rPr>
  </w:style>
  <w:style w:type="paragraph" w:customStyle="1" w:styleId="NoteBullet">
    <w:name w:val="Note Bullet"/>
    <w:basedOn w:val="Note"/>
    <w:rsid w:val="005D0D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D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D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D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D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0D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D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D80"/>
    <w:rPr>
      <w:b/>
      <w:smallCaps/>
    </w:rPr>
  </w:style>
  <w:style w:type="paragraph" w:customStyle="1" w:styleId="TableListNumber">
    <w:name w:val="Table List Number"/>
    <w:basedOn w:val="ListNumber"/>
    <w:rsid w:val="005D0D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D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D80"/>
    <w:pPr>
      <w:numPr>
        <w:numId w:val="9"/>
      </w:numPr>
    </w:pPr>
  </w:style>
  <w:style w:type="paragraph" w:customStyle="1" w:styleId="ListAlpha2">
    <w:name w:val="List Alpha 2"/>
    <w:basedOn w:val="List2"/>
    <w:rsid w:val="005D0D80"/>
    <w:pPr>
      <w:numPr>
        <w:numId w:val="8"/>
      </w:numPr>
    </w:pPr>
  </w:style>
  <w:style w:type="paragraph" w:styleId="List2">
    <w:name w:val="List 2"/>
    <w:basedOn w:val="BodyText"/>
    <w:rsid w:val="005D0D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D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D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D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0D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0D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0D80"/>
    <w:pPr>
      <w:numPr>
        <w:numId w:val="4"/>
      </w:numPr>
    </w:pPr>
  </w:style>
  <w:style w:type="paragraph" w:styleId="ListContinue2">
    <w:name w:val="List Continue 2"/>
    <w:basedOn w:val="List2"/>
    <w:rsid w:val="005D0D80"/>
    <w:pPr>
      <w:ind w:firstLine="0"/>
    </w:pPr>
  </w:style>
  <w:style w:type="paragraph" w:styleId="ListContinue3">
    <w:name w:val="List Continue 3"/>
    <w:basedOn w:val="List3"/>
    <w:rsid w:val="005D0D80"/>
    <w:pPr>
      <w:ind w:left="1021" w:firstLine="0"/>
    </w:pPr>
  </w:style>
  <w:style w:type="paragraph" w:styleId="ListContinue4">
    <w:name w:val="List Continue 4"/>
    <w:basedOn w:val="List4"/>
    <w:rsid w:val="005D0D80"/>
    <w:pPr>
      <w:ind w:firstLine="0"/>
    </w:pPr>
  </w:style>
  <w:style w:type="paragraph" w:styleId="ListContinue5">
    <w:name w:val="List Continue 5"/>
    <w:basedOn w:val="List5"/>
    <w:rsid w:val="005D0D80"/>
    <w:pPr>
      <w:ind w:firstLine="0"/>
    </w:pPr>
  </w:style>
  <w:style w:type="paragraph" w:styleId="ListNumber3">
    <w:name w:val="List Number 3"/>
    <w:basedOn w:val="List3"/>
    <w:rsid w:val="005D0D80"/>
    <w:pPr>
      <w:numPr>
        <w:numId w:val="5"/>
      </w:numPr>
    </w:pPr>
  </w:style>
  <w:style w:type="paragraph" w:styleId="ListNumber4">
    <w:name w:val="List Number 4"/>
    <w:basedOn w:val="List4"/>
    <w:rsid w:val="005D0D80"/>
    <w:pPr>
      <w:numPr>
        <w:numId w:val="6"/>
      </w:numPr>
    </w:pPr>
  </w:style>
  <w:style w:type="paragraph" w:styleId="ListNumber5">
    <w:name w:val="List Number 5"/>
    <w:basedOn w:val="List5"/>
    <w:rsid w:val="005D0D80"/>
    <w:pPr>
      <w:numPr>
        <w:numId w:val="7"/>
      </w:numPr>
    </w:pPr>
  </w:style>
  <w:style w:type="paragraph" w:styleId="BlockText">
    <w:name w:val="Block Text"/>
    <w:basedOn w:val="Normal"/>
    <w:rsid w:val="005D0D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D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D80"/>
    <w:rPr>
      <w:sz w:val="16"/>
      <w:vertAlign w:val="superscript"/>
    </w:rPr>
  </w:style>
  <w:style w:type="character" w:customStyle="1" w:styleId="Symbols">
    <w:name w:val="Symbols"/>
    <w:basedOn w:val="DefaultParagraphFont"/>
    <w:rsid w:val="005D0D80"/>
    <w:rPr>
      <w:rFonts w:ascii="Symbol" w:hAnsi="Symbol"/>
    </w:rPr>
  </w:style>
  <w:style w:type="character" w:customStyle="1" w:styleId="MenuOptions">
    <w:name w:val="Menu Options"/>
    <w:basedOn w:val="DefaultParagraphFont"/>
    <w:rsid w:val="005D0D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D80"/>
    <w:rPr>
      <w:b/>
    </w:rPr>
  </w:style>
  <w:style w:type="character" w:customStyle="1" w:styleId="Underlined">
    <w:name w:val="Underlined"/>
    <w:basedOn w:val="DefaultParagraphFont"/>
    <w:rsid w:val="005D0D80"/>
    <w:rPr>
      <w:u w:val="single"/>
    </w:rPr>
  </w:style>
  <w:style w:type="paragraph" w:customStyle="1" w:styleId="TableBodyTextRight">
    <w:name w:val="Table Body Text Right"/>
    <w:basedOn w:val="TableBodyText"/>
    <w:rsid w:val="005D0D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D80"/>
    <w:rPr>
      <w:sz w:val="18"/>
    </w:rPr>
  </w:style>
  <w:style w:type="paragraph" w:customStyle="1" w:styleId="BodySmallRight">
    <w:name w:val="Body Small Right"/>
    <w:basedOn w:val="BodyTextRight"/>
    <w:rsid w:val="005D0D80"/>
    <w:rPr>
      <w:sz w:val="18"/>
      <w:szCs w:val="18"/>
    </w:rPr>
  </w:style>
  <w:style w:type="paragraph" w:customStyle="1" w:styleId="MarginEdition">
    <w:name w:val="Margin Edition"/>
    <w:basedOn w:val="MarginNote"/>
    <w:rsid w:val="005D0D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D80"/>
    <w:rPr>
      <w:sz w:val="2"/>
      <w:szCs w:val="2"/>
    </w:rPr>
  </w:style>
  <w:style w:type="character" w:customStyle="1" w:styleId="Small">
    <w:name w:val="Small"/>
    <w:basedOn w:val="DefaultParagraphFont"/>
    <w:rsid w:val="005D0D80"/>
    <w:rPr>
      <w:sz w:val="16"/>
    </w:rPr>
  </w:style>
  <w:style w:type="paragraph" w:customStyle="1" w:styleId="WideTable">
    <w:name w:val="Wide Table"/>
    <w:basedOn w:val="Normal"/>
    <w:rsid w:val="005D0D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D80"/>
  </w:style>
  <w:style w:type="paragraph" w:styleId="Quote">
    <w:name w:val="Quote"/>
    <w:basedOn w:val="Heading1"/>
    <w:link w:val="QuoteChar"/>
    <w:qFormat/>
    <w:rsid w:val="005D0D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D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D80"/>
    <w:pPr>
      <w:pageBreakBefore/>
    </w:pPr>
  </w:style>
  <w:style w:type="paragraph" w:customStyle="1" w:styleId="Border">
    <w:name w:val="Border"/>
    <w:basedOn w:val="Normal"/>
    <w:qFormat/>
    <w:rsid w:val="005D0D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D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D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D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D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D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D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D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D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D80"/>
    <w:rPr>
      <w:u w:val="single"/>
    </w:rPr>
  </w:style>
  <w:style w:type="character" w:customStyle="1" w:styleId="BoldandItalics">
    <w:name w:val="Bold and Italics"/>
    <w:qFormat/>
    <w:rsid w:val="005D0D80"/>
    <w:rPr>
      <w:b/>
      <w:i/>
      <w:u w:val="none"/>
    </w:rPr>
  </w:style>
  <w:style w:type="paragraph" w:styleId="BalloonText">
    <w:name w:val="Balloon Text"/>
    <w:basedOn w:val="Normal"/>
    <w:link w:val="BalloonTextChar"/>
    <w:rsid w:val="005D0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D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D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D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D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D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D80"/>
    <w:pPr>
      <w:spacing w:before="0" w:after="0"/>
    </w:pPr>
  </w:style>
  <w:style w:type="paragraph" w:customStyle="1" w:styleId="BodyTextBold">
    <w:name w:val="Body Text Bold"/>
    <w:basedOn w:val="BodyText"/>
    <w:qFormat/>
    <w:rsid w:val="005D0D80"/>
    <w:rPr>
      <w:b/>
    </w:rPr>
  </w:style>
  <w:style w:type="character" w:styleId="Hyperlink">
    <w:name w:val="Hyperlink"/>
    <w:basedOn w:val="DefaultParagraphFont"/>
    <w:uiPriority w:val="99"/>
    <w:unhideWhenUsed/>
    <w:rsid w:val="000B0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1705</Words>
  <Characters>11516</Characters>
  <Application>Microsoft Office Word</Application>
  <DocSecurity>0</DocSecurity>
  <Lines>460</Lines>
  <Paragraphs>236</Paragraphs>
  <ScaleCrop>false</ScaleCrop>
  <Company>Author-it Software Corporation Ltd.</Company>
  <LinksUpToDate>false</LinksUpToDate>
  <CharactersWithSpaces>12985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MEM18084 Commission and decommission split air conditioning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