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6C" w:rsidP="00BB4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MEM18084 Commission and decommission split air conditioning systems</w:t>
      </w:r>
      <w:r>
        <w:fldChar w:fldCharType="end"/>
      </w:r>
    </w:p>
    <w:p w:rsidR="00BB4E6C" w:rsidP="00BB4E6C">
      <w:pPr>
        <w:pStyle w:val="Version"/>
        <w:sectPr w:rsidSect="006C1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11F" w:rsidP="006C111F">
      <w:pPr>
        <w:pStyle w:val="SuperHeading"/>
      </w:pPr>
      <w:r w:rsidRPr="006C111F">
        <w:t>Assessment Requirements for MEM18084 Commission and decommission split air conditioning systems</w:t>
      </w:r>
    </w:p>
    <w:p w:rsidR="00000000" w:rsidRPr="006C111F" w:rsidP="006C111F">
      <w:pPr>
        <w:pStyle w:val="Heading1"/>
      </w:pPr>
      <w:bookmarkStart w:id="1" w:name="O_941632"/>
      <w:bookmarkEnd w:id="1"/>
      <w:r w:rsidRPr="006C111F">
        <w:t>Modification History</w:t>
      </w:r>
    </w:p>
    <w:p w:rsidR="00000000" w:rsidRPr="006C111F" w:rsidP="00BB4E6C">
      <w:pPr>
        <w:pStyle w:val="BodyText"/>
      </w:pPr>
      <w:r w:rsidRPr="006C111F">
        <w:t xml:space="preserve">Release 1. Supersedes and is equivalent to MEM18084A Commission and decommission split air conditioning systems </w:t>
      </w:r>
    </w:p>
    <w:p w:rsidR="00000000" w:rsidRPr="006C111F" w:rsidP="006C111F">
      <w:pPr>
        <w:pStyle w:val="Heading1"/>
      </w:pPr>
      <w:bookmarkStart w:id="2" w:name="O_941635"/>
      <w:bookmarkEnd w:id="2"/>
      <w:r w:rsidRPr="006C111F">
        <w:t>Performance Evidence</w:t>
      </w:r>
    </w:p>
    <w:p w:rsidR="00000000" w:rsidRPr="006C111F" w:rsidP="00BB4E6C">
      <w:pPr>
        <w:pStyle w:val="BodyText"/>
      </w:pPr>
      <w:r w:rsidRPr="006C111F">
        <w:t>Evidence required to demonstrate competence in this unit must be relevant to and satisfy the requirements of the elements and performance criteria on at least two (2) occasions and include:</w:t>
      </w:r>
    </w:p>
    <w:p w:rsidR="00000000" w:rsidRPr="006C111F" w:rsidP="006C111F">
      <w:pPr>
        <w:pStyle w:val="ListBullet"/>
      </w:pPr>
      <w:r w:rsidRPr="006C111F">
        <w:t>following work instructions, standar</w:t>
      </w:r>
      <w:r w:rsidRPr="006C111F">
        <w:t xml:space="preserve">d operating procedures (SOPs) and safe work practices </w:t>
      </w:r>
    </w:p>
    <w:p w:rsidR="00000000" w:rsidRPr="006C111F" w:rsidP="006C111F">
      <w:pPr>
        <w:pStyle w:val="ListBullet"/>
      </w:pPr>
      <w:r w:rsidRPr="006C111F">
        <w:t xml:space="preserve">identifying and interpreting charts, lists, catalogues, specifications, legislative and industry requirements and drawings and obtaining relevant data with respect to commissioning and decommissioning </w:t>
      </w:r>
      <w:r w:rsidRPr="006C111F">
        <w:t>split air conditioning systems</w:t>
      </w:r>
    </w:p>
    <w:p w:rsidR="00000000" w:rsidRPr="006C111F" w:rsidP="006C111F">
      <w:pPr>
        <w:pStyle w:val="ListBullet"/>
      </w:pPr>
      <w:r w:rsidRPr="006C111F">
        <w:t>checking system for correct operation using appropriate tools, techniques and equipment and comparing system and component performance/operation against specifications</w:t>
      </w:r>
    </w:p>
    <w:p w:rsidR="00000000" w:rsidRPr="006C111F" w:rsidP="006C111F">
      <w:pPr>
        <w:pStyle w:val="ListBullet"/>
      </w:pPr>
      <w:r w:rsidRPr="006C111F">
        <w:t>isolating circuit and appliances in strict accordance wit</w:t>
      </w:r>
      <w:r w:rsidRPr="006C111F">
        <w:t xml:space="preserve">h work health and safety (WHS) requirements and procedures, where necessary </w:t>
      </w:r>
    </w:p>
    <w:p w:rsidR="00000000" w:rsidRPr="006C111F" w:rsidP="006C111F">
      <w:pPr>
        <w:pStyle w:val="ListBullet"/>
      </w:pPr>
      <w:r w:rsidRPr="006C111F">
        <w:t xml:space="preserve">identifying faulty components and non-compliances using appropriate tools, equipment and testing  </w:t>
      </w:r>
    </w:p>
    <w:p w:rsidR="00000000" w:rsidRPr="006C111F" w:rsidP="006C111F">
      <w:pPr>
        <w:pStyle w:val="ListBullet"/>
      </w:pPr>
      <w:r w:rsidRPr="006C111F">
        <w:t>removing, containing and adding refrigerant safely in compliance with relevant A</w:t>
      </w:r>
      <w:r w:rsidRPr="006C111F">
        <w:t xml:space="preserve">ustralian Standards or codes and regulations </w:t>
      </w:r>
    </w:p>
    <w:p w:rsidR="00000000" w:rsidRPr="006C111F" w:rsidP="006C111F">
      <w:pPr>
        <w:pStyle w:val="ListBullet"/>
      </w:pPr>
      <w:r w:rsidRPr="006C111F">
        <w:t>pressure and leak testing split air conditioning systems at a pressure compatible with the refrigerant to be used and locating leaks, isolating and applying appropriate repairs, adjustments or remedial action t</w:t>
      </w:r>
      <w:r w:rsidRPr="006C111F">
        <w:t xml:space="preserve">o achieve specifications </w:t>
      </w:r>
    </w:p>
    <w:p w:rsidR="00000000" w:rsidRPr="006C111F" w:rsidP="006C111F">
      <w:pPr>
        <w:pStyle w:val="ListBullet"/>
      </w:pPr>
      <w:r w:rsidRPr="006C111F">
        <w:t xml:space="preserve">completing commissioning procedures, including undertaking final inspection, instructing the client and completing certificates of compliance and other relevant commissioning documentation and processes </w:t>
      </w:r>
    </w:p>
    <w:p w:rsidR="00000000" w:rsidRPr="006C111F" w:rsidP="006C111F">
      <w:pPr>
        <w:pStyle w:val="ListBullet"/>
      </w:pPr>
      <w:r w:rsidRPr="006C111F">
        <w:t xml:space="preserve">decommissioning split air </w:t>
      </w:r>
      <w:r w:rsidRPr="006C111F">
        <w:t>conditioning – single head systems using sustainable environmental practices</w:t>
      </w:r>
    </w:p>
    <w:p w:rsidR="00000000" w:rsidRPr="006C111F" w:rsidP="006C111F">
      <w:pPr>
        <w:pStyle w:val="ListBullet"/>
      </w:pPr>
      <w:r w:rsidRPr="006C111F">
        <w:t>completing all relevant commissioning and decommissioning documentation in accordance with state/territory regulatory requirements.</w:t>
      </w:r>
    </w:p>
    <w:p w:rsidR="00000000" w:rsidRPr="006C111F" w:rsidP="006C111F">
      <w:pPr>
        <w:pStyle w:val="AllowPageBreak"/>
      </w:pPr>
    </w:p>
    <w:p w:rsidR="00000000" w:rsidRPr="006C111F" w:rsidP="006C111F">
      <w:pPr>
        <w:pStyle w:val="Heading1"/>
      </w:pPr>
      <w:bookmarkStart w:id="3" w:name="O_941634"/>
      <w:bookmarkEnd w:id="3"/>
      <w:r w:rsidRPr="006C111F">
        <w:t>Knowledge Evidence</w:t>
      </w:r>
    </w:p>
    <w:p w:rsidR="00000000" w:rsidRPr="006C111F" w:rsidP="00BB4E6C">
      <w:pPr>
        <w:pStyle w:val="BodyText"/>
      </w:pPr>
      <w:r w:rsidRPr="006C111F">
        <w:t>Evidence re</w:t>
      </w:r>
      <w:r w:rsidRPr="006C111F">
        <w:t>quired to demonstrate the required knowledge for this unit must be relevant to and satisfy the requirements of the elements and performance criteria and include knowledge of:</w:t>
      </w:r>
    </w:p>
    <w:p w:rsidR="00000000" w:rsidRPr="006C111F" w:rsidP="006C111F">
      <w:pPr>
        <w:pStyle w:val="ListBullet"/>
      </w:pPr>
      <w:r w:rsidRPr="006C111F">
        <w:t>safe work practices and procedures and use of personal protective equipment (PPE</w:t>
      </w:r>
      <w:r w:rsidRPr="006C111F">
        <w:t>)</w:t>
      </w:r>
    </w:p>
    <w:p w:rsidR="00000000" w:rsidRPr="006C111F" w:rsidP="006C111F">
      <w:pPr>
        <w:pStyle w:val="ListBullet"/>
      </w:pPr>
      <w:r w:rsidRPr="006C111F">
        <w:t>applicable legislative and regulatory requirements, standards, codes, licensing requirements and sustainable environmental practices for commissioning and decommissioning systems</w:t>
      </w:r>
    </w:p>
    <w:p w:rsidR="00000000" w:rsidRPr="006C111F" w:rsidP="006C111F">
      <w:pPr>
        <w:pStyle w:val="ListBullet"/>
      </w:pPr>
      <w:r w:rsidRPr="006C111F">
        <w:t>applicable procedures and legislative requirements for storage, handling an</w:t>
      </w:r>
      <w:r w:rsidRPr="006C111F">
        <w:t>d treatment of ozone depleting and synthetic greenhouse gas refrigerant</w:t>
      </w:r>
    </w:p>
    <w:p w:rsidR="00000000" w:rsidRPr="006C111F" w:rsidP="006C111F">
      <w:pPr>
        <w:pStyle w:val="ListBullet"/>
      </w:pPr>
      <w:r w:rsidRPr="006C111F">
        <w:t>applicable procedures for working with R32 and other flammable refrigerants where used in split air conditioning systems</w:t>
      </w:r>
    </w:p>
    <w:p w:rsidR="00000000" w:rsidRPr="006C111F" w:rsidP="006C111F">
      <w:pPr>
        <w:pStyle w:val="ListBullet"/>
      </w:pPr>
      <w:r w:rsidRPr="006C111F">
        <w:t>typical work environments, demands and considerations</w:t>
      </w:r>
    </w:p>
    <w:p w:rsidR="00000000" w:rsidRPr="006C111F" w:rsidP="006C111F">
      <w:pPr>
        <w:pStyle w:val="ListBullet"/>
      </w:pPr>
      <w:r w:rsidRPr="006C111F">
        <w:t>specifications, operational characteristics and process for identifying system components</w:t>
      </w:r>
    </w:p>
    <w:p w:rsidR="00000000" w:rsidRPr="006C111F" w:rsidP="006C111F">
      <w:pPr>
        <w:pStyle w:val="ListBullet"/>
      </w:pPr>
      <w:r w:rsidRPr="006C111F">
        <w:t>typical problems, contingencies and solutions</w:t>
      </w:r>
    </w:p>
    <w:p w:rsidR="00000000" w:rsidRPr="006C111F" w:rsidP="006C111F">
      <w:pPr>
        <w:pStyle w:val="ListBullet"/>
      </w:pPr>
      <w:r w:rsidRPr="006C111F">
        <w:t>applicable tools, equipment and testing devices and their operation</w:t>
      </w:r>
    </w:p>
    <w:p w:rsidR="00000000" w:rsidRPr="006C111F" w:rsidP="006C111F">
      <w:pPr>
        <w:pStyle w:val="ListBullet"/>
      </w:pPr>
      <w:r w:rsidRPr="006C111F">
        <w:t xml:space="preserve">procedures for determining the actual and specified </w:t>
      </w:r>
      <w:r w:rsidRPr="006C111F">
        <w:t>range of operating conditions from measured and calculated values as they apply to particular vapour compression systems</w:t>
      </w:r>
    </w:p>
    <w:p w:rsidR="00000000" w:rsidRPr="006C111F" w:rsidP="006C111F">
      <w:pPr>
        <w:pStyle w:val="ListBullet"/>
      </w:pPr>
      <w:r w:rsidRPr="006C111F">
        <w:t>procedures for evacuating system, leak testing, adding refrigerant and checking air flow</w:t>
      </w:r>
    </w:p>
    <w:p w:rsidR="00000000" w:rsidRPr="006C111F" w:rsidP="006C111F">
      <w:pPr>
        <w:pStyle w:val="ListBullet"/>
      </w:pPr>
      <w:r w:rsidRPr="006C111F">
        <w:t>requirements and procedures to isolate circuit</w:t>
      </w:r>
      <w:r w:rsidRPr="006C111F">
        <w:t>s/appliances</w:t>
      </w:r>
    </w:p>
    <w:p w:rsidR="00000000" w:rsidRPr="006C111F" w:rsidP="006C111F">
      <w:pPr>
        <w:pStyle w:val="ListBullet"/>
      </w:pPr>
      <w:r w:rsidRPr="006C111F">
        <w:t>measuring instruments/equipment, specifications and procedures for checking temperature, system performance and components</w:t>
      </w:r>
    </w:p>
    <w:p w:rsidR="00000000" w:rsidRPr="006C111F" w:rsidP="006C111F">
      <w:pPr>
        <w:pStyle w:val="ListBullet"/>
      </w:pPr>
      <w:r w:rsidRPr="006C111F">
        <w:t>process for identifying refrigerant type</w:t>
      </w:r>
    </w:p>
    <w:p w:rsidR="00000000" w:rsidRPr="006C111F" w:rsidP="006C111F">
      <w:pPr>
        <w:pStyle w:val="ListBullet"/>
      </w:pPr>
      <w:r w:rsidRPr="006C111F">
        <w:t xml:space="preserve">types of commissioning documentation </w:t>
      </w:r>
    </w:p>
    <w:p w:rsidR="00000000" w:rsidRPr="006C111F" w:rsidP="006C111F">
      <w:pPr>
        <w:pStyle w:val="ListBullet"/>
      </w:pPr>
      <w:r w:rsidRPr="006C111F">
        <w:t>requirements and procedures for reporting</w:t>
      </w:r>
      <w:r w:rsidRPr="006C111F">
        <w:t xml:space="preserve"> non-compliances completing documentation.</w:t>
      </w:r>
    </w:p>
    <w:p w:rsidR="00000000" w:rsidRPr="006C111F" w:rsidP="006C111F">
      <w:pPr>
        <w:pStyle w:val="AllowPageBreak"/>
      </w:pPr>
    </w:p>
    <w:p w:rsidR="00000000" w:rsidRPr="006C111F" w:rsidP="006C111F">
      <w:pPr>
        <w:pStyle w:val="Heading1"/>
      </w:pPr>
      <w:bookmarkStart w:id="4" w:name="O_941633"/>
      <w:bookmarkEnd w:id="4"/>
      <w:r w:rsidRPr="006C111F">
        <w:t>Assessment Conditions</w:t>
      </w:r>
    </w:p>
    <w:p w:rsidR="00000000" w:rsidRPr="006C111F" w:rsidP="006C111F">
      <w:pPr>
        <w:pStyle w:val="ListBullet"/>
      </w:pPr>
      <w:r w:rsidRPr="006C111F">
        <w:t>Assessors must:</w:t>
      </w:r>
    </w:p>
    <w:p w:rsidR="00000000" w:rsidRPr="006C111F" w:rsidP="006C111F">
      <w:pPr>
        <w:pStyle w:val="ListBullet2"/>
      </w:pPr>
      <w:r w:rsidRPr="006C111F">
        <w:t>have vocational competency in commissioning and decommissioning split air conditioning systems at least to the level being assessed with relevant industry k</w:t>
      </w:r>
      <w:r w:rsidRPr="006C111F">
        <w:t>nowledge and experience</w:t>
      </w:r>
    </w:p>
    <w:p w:rsidR="00000000" w:rsidRPr="006C111F" w:rsidP="006C111F">
      <w:pPr>
        <w:pStyle w:val="ListBullet2"/>
      </w:pPr>
      <w:r w:rsidRPr="006C111F">
        <w:t xml:space="preserve">satisfy the assessor requirements in the </w:t>
      </w:r>
      <w:r w:rsidRPr="006C111F">
        <w:rPr>
          <w:rStyle w:val="Emphasis"/>
        </w:rPr>
        <w:t xml:space="preserve">Standards for Registered Training Organisations 2015 </w:t>
      </w:r>
      <w:r w:rsidRPr="006C111F">
        <w:t>or its replacement</w:t>
      </w:r>
      <w:r w:rsidRPr="006C111F">
        <w:rPr>
          <w:rStyle w:val="Emphasis"/>
        </w:rPr>
        <w:t xml:space="preserve"> </w:t>
      </w:r>
      <w:r w:rsidRPr="006C111F">
        <w:t xml:space="preserve">and comply with the </w:t>
      </w:r>
      <w:r w:rsidRPr="006C111F">
        <w:rPr>
          <w:rStyle w:val="Emphasis"/>
        </w:rPr>
        <w:t xml:space="preserve">National Vocational Education and Training Regulator Act 2011, </w:t>
      </w:r>
      <w:r w:rsidRPr="006C111F">
        <w:t>its replacement</w:t>
      </w:r>
      <w:r w:rsidRPr="006C111F">
        <w:rPr>
          <w:rStyle w:val="Emphasis"/>
        </w:rPr>
        <w:t xml:space="preserve"> </w:t>
      </w:r>
      <w:r w:rsidRPr="006C111F">
        <w:t>or equivalent legislation covering VET regulation in a non-referring state/territory as the case requires</w:t>
      </w:r>
    </w:p>
    <w:p w:rsidR="00000000" w:rsidRPr="006C111F" w:rsidP="006C111F">
      <w:pPr>
        <w:pStyle w:val="ListBullet"/>
      </w:pPr>
      <w:r w:rsidRPr="006C111F">
        <w:t>Where possible assessment must occur in operational workplace situations. Where this is not possible or where personal safety or environmental damage</w:t>
      </w:r>
      <w:r w:rsidRPr="006C111F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6C111F">
        <w:t>t skills, contingency management skills and job role environment skills</w:t>
      </w:r>
    </w:p>
    <w:p w:rsidR="00000000" w:rsidRPr="006C111F" w:rsidP="006C111F">
      <w:pPr>
        <w:pStyle w:val="ListBullet"/>
      </w:pPr>
      <w:r w:rsidRPr="006C111F">
        <w:t>Conditions for assessment must include access to all tools, equipment, materials and documentation required, including relevant workplace procedures, product and manufacturing specific</w:t>
      </w:r>
      <w:r w:rsidRPr="006C111F">
        <w:t>ations</w:t>
      </w:r>
    </w:p>
    <w:p w:rsidR="00000000" w:rsidRPr="006C111F" w:rsidP="006C111F">
      <w:pPr>
        <w:pStyle w:val="ListBullet"/>
      </w:pPr>
      <w:r w:rsidRPr="006C111F">
        <w:t>Assessment processes and techniques must be appropriate to the language, literacy and numeracy requirements of the work being performed and the needs of the candidate.</w:t>
      </w:r>
    </w:p>
    <w:p w:rsidR="00000000" w:rsidRPr="006C111F" w:rsidP="006C111F">
      <w:pPr>
        <w:pStyle w:val="AllowPageBreak"/>
      </w:pPr>
    </w:p>
    <w:p w:rsidR="00000000" w:rsidRPr="006C111F" w:rsidP="006C111F">
      <w:pPr>
        <w:pStyle w:val="Heading1"/>
      </w:pPr>
      <w:bookmarkStart w:id="5" w:name="O_941631"/>
      <w:bookmarkEnd w:id="5"/>
      <w:r w:rsidRPr="006C111F">
        <w:t>Links</w:t>
      </w:r>
    </w:p>
    <w:p w:rsidR="00000000" w:rsidRPr="006C111F" w:rsidP="00BB4E6C">
      <w:pPr>
        <w:pStyle w:val="BodyText"/>
      </w:pPr>
      <w:r w:rsidRPr="006C111F">
        <w:t>Companion Volume implementation guides are found in VETNet</w:t>
      </w:r>
      <w:r w:rsidRPr="006C111F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19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111F" w:rsidP="006C111F"/>
    <w:sectPr w:rsidSect="006C11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1F" w:rsidRPr="00BB4E6C" w:rsidP="00BB4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C" w:rsidP="006C1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E6C" w:rsidP="006C1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4E6C" w:rsidP="006C1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11F" w:rsidRPr="00BB4E6C" w:rsidP="00BB4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C" w:rsidRPr="002D2AF8" w:rsidP="006C1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MEM18084 Commission and decommission split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4E6C" w:rsidP="006C1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69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A9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85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11F"/>
  </w:style>
  <w:style w:type="character" w:customStyle="1" w:styleId="Heading1Char">
    <w:name w:val="Heading 1 Char"/>
    <w:basedOn w:val="DefaultParagraphFont"/>
    <w:link w:val="Heading1"/>
    <w:rsid w:val="006C1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1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1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11F"/>
    <w:rPr>
      <w:i/>
    </w:rPr>
  </w:style>
  <w:style w:type="paragraph" w:customStyle="1" w:styleId="SuperHeading">
    <w:name w:val="SuperHeading"/>
    <w:basedOn w:val="Normal"/>
    <w:rsid w:val="006C1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11F"/>
    <w:rPr>
      <w:b/>
      <w:spacing w:val="0"/>
    </w:rPr>
  </w:style>
  <w:style w:type="paragraph" w:customStyle="1" w:styleId="SuperTitle">
    <w:name w:val="SuperTitle"/>
    <w:basedOn w:val="Title"/>
    <w:rsid w:val="006C1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1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11F"/>
  </w:style>
  <w:style w:type="paragraph" w:styleId="TableofFigures">
    <w:name w:val="table of figures"/>
    <w:basedOn w:val="Normal"/>
    <w:next w:val="Normal"/>
    <w:semiHidden/>
    <w:rsid w:val="006C1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1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11F"/>
    <w:rPr>
      <w:rFonts w:ascii="Wingdings" w:hAnsi="Wingdings"/>
    </w:rPr>
  </w:style>
  <w:style w:type="paragraph" w:customStyle="1" w:styleId="TableHeading">
    <w:name w:val="Table Heading"/>
    <w:basedOn w:val="HeadingBase"/>
    <w:rsid w:val="006C1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11F"/>
    <w:rPr>
      <w:color w:val="0033CC"/>
      <w:u w:val="none"/>
    </w:rPr>
  </w:style>
  <w:style w:type="paragraph" w:customStyle="1" w:styleId="BodyTextRight">
    <w:name w:val="Body Text Right"/>
    <w:basedOn w:val="BodyText"/>
    <w:rsid w:val="006C1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1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11F"/>
    <w:rPr>
      <w:sz w:val="32"/>
    </w:rPr>
  </w:style>
  <w:style w:type="paragraph" w:customStyle="1" w:styleId="HeadingProcedure">
    <w:name w:val="Heading Procedure"/>
    <w:basedOn w:val="HeadingBase"/>
    <w:next w:val="Normal"/>
    <w:rsid w:val="006C1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11F"/>
    <w:pPr>
      <w:spacing w:before="60" w:after="60"/>
    </w:pPr>
  </w:style>
  <w:style w:type="paragraph" w:styleId="ListContinue">
    <w:name w:val="List Continue"/>
    <w:basedOn w:val="List"/>
    <w:rsid w:val="006C111F"/>
    <w:pPr>
      <w:ind w:firstLine="0"/>
    </w:pPr>
  </w:style>
  <w:style w:type="paragraph" w:customStyle="1" w:styleId="ListNote">
    <w:name w:val="List Note"/>
    <w:basedOn w:val="List"/>
    <w:rsid w:val="006C1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11F"/>
    <w:rPr>
      <w:rFonts w:ascii="Courier New" w:hAnsi="Courier New"/>
    </w:rPr>
  </w:style>
  <w:style w:type="paragraph" w:customStyle="1" w:styleId="NoteBullet">
    <w:name w:val="Note Bullet"/>
    <w:basedOn w:val="Note"/>
    <w:rsid w:val="006C1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11F"/>
    <w:rPr>
      <w:b/>
      <w:smallCaps/>
    </w:rPr>
  </w:style>
  <w:style w:type="paragraph" w:customStyle="1" w:styleId="TableListNumber">
    <w:name w:val="Table List Number"/>
    <w:basedOn w:val="ListNumber"/>
    <w:rsid w:val="006C1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11F"/>
    <w:pPr>
      <w:numPr>
        <w:numId w:val="9"/>
      </w:numPr>
    </w:pPr>
  </w:style>
  <w:style w:type="paragraph" w:customStyle="1" w:styleId="ListAlpha2">
    <w:name w:val="List Alpha 2"/>
    <w:basedOn w:val="List2"/>
    <w:rsid w:val="006C111F"/>
    <w:pPr>
      <w:numPr>
        <w:numId w:val="8"/>
      </w:numPr>
    </w:pPr>
  </w:style>
  <w:style w:type="paragraph" w:styleId="List2">
    <w:name w:val="List 2"/>
    <w:basedOn w:val="BodyText"/>
    <w:rsid w:val="006C1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1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11F"/>
    <w:pPr>
      <w:numPr>
        <w:numId w:val="4"/>
      </w:numPr>
    </w:pPr>
  </w:style>
  <w:style w:type="paragraph" w:styleId="ListContinue2">
    <w:name w:val="List Continue 2"/>
    <w:basedOn w:val="List2"/>
    <w:rsid w:val="006C111F"/>
    <w:pPr>
      <w:ind w:firstLine="0"/>
    </w:pPr>
  </w:style>
  <w:style w:type="paragraph" w:styleId="ListContinue3">
    <w:name w:val="List Continue 3"/>
    <w:basedOn w:val="List3"/>
    <w:rsid w:val="006C111F"/>
    <w:pPr>
      <w:ind w:left="1021" w:firstLine="0"/>
    </w:pPr>
  </w:style>
  <w:style w:type="paragraph" w:styleId="ListContinue4">
    <w:name w:val="List Continue 4"/>
    <w:basedOn w:val="List4"/>
    <w:rsid w:val="006C111F"/>
    <w:pPr>
      <w:ind w:firstLine="0"/>
    </w:pPr>
  </w:style>
  <w:style w:type="paragraph" w:styleId="ListContinue5">
    <w:name w:val="List Continue 5"/>
    <w:basedOn w:val="List5"/>
    <w:rsid w:val="006C111F"/>
    <w:pPr>
      <w:ind w:firstLine="0"/>
    </w:pPr>
  </w:style>
  <w:style w:type="paragraph" w:styleId="ListNumber3">
    <w:name w:val="List Number 3"/>
    <w:basedOn w:val="List3"/>
    <w:rsid w:val="006C111F"/>
    <w:pPr>
      <w:numPr>
        <w:numId w:val="5"/>
      </w:numPr>
    </w:pPr>
  </w:style>
  <w:style w:type="paragraph" w:styleId="ListNumber4">
    <w:name w:val="List Number 4"/>
    <w:basedOn w:val="List4"/>
    <w:rsid w:val="006C111F"/>
    <w:pPr>
      <w:numPr>
        <w:numId w:val="6"/>
      </w:numPr>
    </w:pPr>
  </w:style>
  <w:style w:type="paragraph" w:styleId="ListNumber5">
    <w:name w:val="List Number 5"/>
    <w:basedOn w:val="List5"/>
    <w:rsid w:val="006C111F"/>
    <w:pPr>
      <w:numPr>
        <w:numId w:val="7"/>
      </w:numPr>
    </w:pPr>
  </w:style>
  <w:style w:type="paragraph" w:styleId="BlockText">
    <w:name w:val="Block Text"/>
    <w:basedOn w:val="Normal"/>
    <w:rsid w:val="006C1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11F"/>
    <w:rPr>
      <w:sz w:val="16"/>
      <w:vertAlign w:val="superscript"/>
    </w:rPr>
  </w:style>
  <w:style w:type="character" w:customStyle="1" w:styleId="Symbols">
    <w:name w:val="Symbols"/>
    <w:basedOn w:val="DefaultParagraphFont"/>
    <w:rsid w:val="006C111F"/>
    <w:rPr>
      <w:rFonts w:ascii="Symbol" w:hAnsi="Symbol"/>
    </w:rPr>
  </w:style>
  <w:style w:type="character" w:customStyle="1" w:styleId="MenuOptions">
    <w:name w:val="Menu Options"/>
    <w:basedOn w:val="DefaultParagraphFont"/>
    <w:rsid w:val="006C1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11F"/>
    <w:rPr>
      <w:b/>
    </w:rPr>
  </w:style>
  <w:style w:type="character" w:customStyle="1" w:styleId="Underlined">
    <w:name w:val="Underlined"/>
    <w:basedOn w:val="DefaultParagraphFont"/>
    <w:rsid w:val="006C111F"/>
    <w:rPr>
      <w:u w:val="single"/>
    </w:rPr>
  </w:style>
  <w:style w:type="paragraph" w:customStyle="1" w:styleId="TableBodyTextRight">
    <w:name w:val="Table Body Text Right"/>
    <w:basedOn w:val="TableBodyText"/>
    <w:rsid w:val="006C1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11F"/>
    <w:rPr>
      <w:sz w:val="18"/>
    </w:rPr>
  </w:style>
  <w:style w:type="paragraph" w:customStyle="1" w:styleId="BodySmallRight">
    <w:name w:val="Body Small Right"/>
    <w:basedOn w:val="BodyTextRight"/>
    <w:rsid w:val="006C111F"/>
    <w:rPr>
      <w:sz w:val="18"/>
      <w:szCs w:val="18"/>
    </w:rPr>
  </w:style>
  <w:style w:type="paragraph" w:customStyle="1" w:styleId="MarginEdition">
    <w:name w:val="Margin Edition"/>
    <w:basedOn w:val="MarginNote"/>
    <w:rsid w:val="006C1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11F"/>
    <w:rPr>
      <w:sz w:val="2"/>
      <w:szCs w:val="2"/>
    </w:rPr>
  </w:style>
  <w:style w:type="character" w:customStyle="1" w:styleId="Small">
    <w:name w:val="Small"/>
    <w:basedOn w:val="DefaultParagraphFont"/>
    <w:rsid w:val="006C111F"/>
    <w:rPr>
      <w:sz w:val="16"/>
    </w:rPr>
  </w:style>
  <w:style w:type="paragraph" w:customStyle="1" w:styleId="WideTable">
    <w:name w:val="Wide Table"/>
    <w:basedOn w:val="Normal"/>
    <w:rsid w:val="006C1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11F"/>
  </w:style>
  <w:style w:type="paragraph" w:styleId="Quote">
    <w:name w:val="Quote"/>
    <w:basedOn w:val="Heading1"/>
    <w:link w:val="QuoteChar"/>
    <w:qFormat/>
    <w:rsid w:val="006C1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11F"/>
    <w:pPr>
      <w:pageBreakBefore/>
    </w:pPr>
  </w:style>
  <w:style w:type="paragraph" w:customStyle="1" w:styleId="Border">
    <w:name w:val="Border"/>
    <w:basedOn w:val="Normal"/>
    <w:qFormat/>
    <w:rsid w:val="006C1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11F"/>
    <w:rPr>
      <w:u w:val="single"/>
    </w:rPr>
  </w:style>
  <w:style w:type="character" w:customStyle="1" w:styleId="BoldandItalics">
    <w:name w:val="Bold and Italics"/>
    <w:qFormat/>
    <w:rsid w:val="006C111F"/>
    <w:rPr>
      <w:b/>
      <w:i/>
      <w:u w:val="none"/>
    </w:rPr>
  </w:style>
  <w:style w:type="paragraph" w:styleId="BalloonText">
    <w:name w:val="Balloon Text"/>
    <w:basedOn w:val="Normal"/>
    <w:link w:val="BalloonTextChar"/>
    <w:rsid w:val="006C1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11F"/>
    <w:pPr>
      <w:spacing w:before="0" w:after="0"/>
    </w:pPr>
  </w:style>
  <w:style w:type="paragraph" w:customStyle="1" w:styleId="BodyTextBold">
    <w:name w:val="Body Text Bold"/>
    <w:basedOn w:val="BodyText"/>
    <w:qFormat/>
    <w:rsid w:val="006C111F"/>
    <w:rPr>
      <w:b/>
    </w:rPr>
  </w:style>
  <w:style w:type="character" w:styleId="Hyperlink">
    <w:name w:val="Hyperlink"/>
    <w:basedOn w:val="DefaultParagraphFont"/>
    <w:uiPriority w:val="99"/>
    <w:unhideWhenUsed/>
    <w:rsid w:val="00BB4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4712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MEM18084 Commission and decommission split air conditioning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