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35B5" w:rsidP="000035B5">
      <w:pPr>
        <w:pStyle w:val="Title"/>
      </w:pPr>
      <w:r>
        <w:fldChar w:fldCharType="begin"/>
      </w:r>
      <w:r>
        <w:instrText xml:space="preserve"> TITLE   \* MERGEFORMAT </w:instrText>
      </w:r>
      <w:r>
        <w:fldChar w:fldCharType="separate"/>
      </w:r>
      <w:r>
        <w:t>MEM18083 Handle fluorocarbon refrigerants according to regulations</w:t>
      </w:r>
      <w:r>
        <w:fldChar w:fldCharType="end"/>
      </w:r>
    </w:p>
    <w:p w:rsidR="000035B5" w:rsidP="000035B5">
      <w:pPr>
        <w:pStyle w:val="Version"/>
        <w:sectPr w:rsidSect="00832F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2FDD" w:rsidP="00832FDD">
      <w:pPr>
        <w:pStyle w:val="SuperHeading"/>
      </w:pPr>
      <w:r w:rsidRPr="00832FDD">
        <w:t>MEM18083 Hand</w:t>
      </w:r>
      <w:r w:rsidRPr="00832FDD">
        <w:t>le fluorocarbon refrigerants according to regulations</w:t>
      </w:r>
    </w:p>
    <w:p w:rsidR="00000000" w:rsidRPr="00832FDD" w:rsidP="00832FDD">
      <w:pPr>
        <w:pStyle w:val="Heading1"/>
      </w:pPr>
      <w:bookmarkStart w:id="1" w:name="O_941617"/>
      <w:bookmarkEnd w:id="1"/>
      <w:r w:rsidRPr="00832FDD">
        <w:t>Modification History</w:t>
      </w:r>
    </w:p>
    <w:p w:rsidR="00000000" w:rsidRPr="00832FDD" w:rsidP="000035B5">
      <w:pPr>
        <w:pStyle w:val="BodyText"/>
      </w:pPr>
      <w:r w:rsidRPr="00832FDD">
        <w:t>Release 1. New Unit</w:t>
      </w:r>
    </w:p>
    <w:p w:rsidR="00000000" w:rsidRPr="00832FDD" w:rsidP="00832FDD">
      <w:pPr>
        <w:pStyle w:val="Heading1"/>
      </w:pPr>
      <w:bookmarkStart w:id="2" w:name="O_941625"/>
      <w:bookmarkEnd w:id="2"/>
      <w:r w:rsidRPr="00832FDD">
        <w:t>Application</w:t>
      </w:r>
    </w:p>
    <w:p w:rsidR="00000000" w:rsidRPr="00832FDD" w:rsidP="000035B5">
      <w:pPr>
        <w:pStyle w:val="BodyText"/>
      </w:pPr>
      <w:r w:rsidRPr="00832FDD">
        <w:t>The unit of competency defines the knowledge and skills required to undertake work on refrigeration and air conditioning in a manner consistent with requirements of the Australian Refrigeration Council (ARC) for working with ozone depleting refrigerants. T</w:t>
      </w:r>
      <w:r w:rsidRPr="00832FDD">
        <w:t xml:space="preserve">he unit’s focus is on compliance and awareness of global warming and the dangers of ozone depleting substances. The unit does not cover the technical skills required for typical refrigeration and air conditioning trade tasks such as installing, servicing, </w:t>
      </w:r>
      <w:r w:rsidRPr="00832FDD">
        <w:t xml:space="preserve">repair or decommissioning of equipment or the testing, recovering, evacuating or charging of refrigerants. </w:t>
      </w:r>
    </w:p>
    <w:p w:rsidR="00000000" w:rsidRPr="00832FDD" w:rsidP="000035B5">
      <w:pPr>
        <w:pStyle w:val="BodyText"/>
      </w:pPr>
      <w:r w:rsidRPr="00832FDD">
        <w:t>This unit should be selected in conjunction with relevant technical units if the learner intends to apply to the ARC for a Refrigerant Handling Lic</w:t>
      </w:r>
      <w:r w:rsidRPr="00832FDD">
        <w:t>ence – qualified persons (ARCTICK licence). Other MEM units are specified where a person intends to apply for other ARC licences, including those covering vehicle or split system related work.</w:t>
      </w:r>
    </w:p>
    <w:p w:rsidR="00000000" w:rsidRPr="00832FDD" w:rsidP="000035B5">
      <w:pPr>
        <w:pStyle w:val="BodyText"/>
      </w:pPr>
      <w:r w:rsidRPr="00832FDD">
        <w:t xml:space="preserve">A Refrigerant Handling Licence must be held by any person who </w:t>
      </w:r>
      <w:r w:rsidRPr="00832FDD">
        <w:t>carries out work in relation to refrigeration and air conditioning equipment.</w:t>
      </w:r>
    </w:p>
    <w:p w:rsidR="00000000" w:rsidRPr="00832FDD" w:rsidP="00832FDD">
      <w:pPr>
        <w:pStyle w:val="BodyText"/>
      </w:pPr>
      <w:r w:rsidRPr="00832FDD">
        <w:rPr>
          <w:rStyle w:val="SpecialBold"/>
        </w:rPr>
        <w:t>Band:</w:t>
      </w:r>
      <w:r w:rsidRPr="00832FDD">
        <w:rPr>
          <w:rStyle w:val="SpecialBold"/>
        </w:rPr>
        <w:tab/>
        <w:t>A</w:t>
      </w:r>
    </w:p>
    <w:p w:rsidR="00000000" w:rsidRPr="00832FDD" w:rsidP="00832FDD">
      <w:pPr>
        <w:pStyle w:val="BodyText"/>
      </w:pPr>
      <w:r w:rsidRPr="00832FDD">
        <w:rPr>
          <w:rStyle w:val="SpecialBold"/>
        </w:rPr>
        <w:t>Unit Weight:</w:t>
      </w:r>
      <w:r w:rsidRPr="00832FDD">
        <w:rPr>
          <w:rStyle w:val="SpecialBold"/>
        </w:rPr>
        <w:tab/>
        <w:t>1</w:t>
      </w:r>
    </w:p>
    <w:p w:rsidR="00000000" w:rsidRPr="00832FDD" w:rsidP="00832FDD">
      <w:pPr>
        <w:pStyle w:val="AllowPageBreak"/>
      </w:pPr>
    </w:p>
    <w:p w:rsidR="00000000" w:rsidRPr="00832FDD" w:rsidP="00832FDD">
      <w:pPr>
        <w:pStyle w:val="Heading1"/>
      </w:pPr>
      <w:bookmarkStart w:id="3" w:name="O_941624"/>
      <w:bookmarkEnd w:id="3"/>
      <w:r w:rsidRPr="00832FDD">
        <w:t>Pre-requisite Unit</w:t>
      </w:r>
    </w:p>
    <w:tbl>
      <w:tblPr>
        <w:tblW w:w="0" w:type="auto"/>
        <w:tblLayout w:type="fixed"/>
        <w:tblCellMar>
          <w:left w:w="62" w:type="dxa"/>
          <w:right w:w="62" w:type="dxa"/>
        </w:tblCellMar>
        <w:tblLook w:val="0000"/>
      </w:tblPr>
      <w:tblGrid>
        <w:gridCol w:w="2218"/>
        <w:gridCol w:w="6399"/>
      </w:tblGrid>
      <w:tr w:rsidTr="00832FDD">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832FDD">
            <w:pPr>
              <w:pStyle w:val="BodyText"/>
              <w:rPr>
                <w:lang w:val="en-NZ"/>
              </w:rPr>
            </w:pPr>
            <w:r w:rsidRPr="00832FDD">
              <w:t>MEM13015</w:t>
            </w:r>
          </w:p>
        </w:tc>
        <w:tc>
          <w:tcPr>
            <w:tcW w:w="6399" w:type="dxa"/>
            <w:tcBorders>
              <w:top w:val="nil"/>
              <w:left w:val="nil"/>
              <w:bottom w:val="nil"/>
              <w:right w:val="nil"/>
            </w:tcBorders>
            <w:tcMar>
              <w:top w:w="0" w:type="dxa"/>
              <w:left w:w="62" w:type="dxa"/>
              <w:bottom w:w="0" w:type="dxa"/>
              <w:right w:w="62" w:type="dxa"/>
            </w:tcMar>
          </w:tcPr>
          <w:p w:rsidR="00000000" w:rsidP="00832FDD">
            <w:pPr>
              <w:pStyle w:val="BodyText"/>
              <w:rPr>
                <w:lang w:val="en-NZ"/>
              </w:rPr>
            </w:pPr>
            <w:r w:rsidRPr="00832FDD">
              <w:t>Work safely and effectively in manufacturing and engineering</w:t>
            </w:r>
          </w:p>
        </w:tc>
      </w:tr>
      <w:tr w:rsidTr="00832FDD">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832FDD">
            <w:pPr>
              <w:pStyle w:val="BodyText"/>
              <w:rPr>
                <w:lang w:val="en-NZ"/>
              </w:rPr>
            </w:pPr>
            <w:r w:rsidRPr="00832FDD">
              <w:t>MEM16006</w:t>
            </w:r>
          </w:p>
        </w:tc>
        <w:tc>
          <w:tcPr>
            <w:tcW w:w="6399" w:type="dxa"/>
            <w:tcBorders>
              <w:top w:val="nil"/>
              <w:left w:val="nil"/>
              <w:bottom w:val="nil"/>
              <w:right w:val="nil"/>
            </w:tcBorders>
            <w:tcMar>
              <w:top w:w="0" w:type="dxa"/>
              <w:left w:w="62" w:type="dxa"/>
              <w:bottom w:w="0" w:type="dxa"/>
              <w:right w:w="62" w:type="dxa"/>
            </w:tcMar>
          </w:tcPr>
          <w:p w:rsidR="00000000" w:rsidRPr="00832FDD" w:rsidP="00832FDD">
            <w:pPr>
              <w:pStyle w:val="BodyText"/>
            </w:pPr>
            <w:r w:rsidRPr="00832FDD">
              <w:t>Organise and communicate information</w:t>
            </w:r>
          </w:p>
        </w:tc>
      </w:tr>
    </w:tbl>
    <w:p w:rsidR="00000000" w:rsidRPr="00832FDD" w:rsidP="00832FDD">
      <w:pPr>
        <w:pStyle w:val="BodyText"/>
      </w:pPr>
    </w:p>
    <w:p w:rsidR="00000000" w:rsidRPr="00832FDD" w:rsidP="00832FDD">
      <w:pPr>
        <w:pStyle w:val="AllowPageBreak"/>
      </w:pPr>
    </w:p>
    <w:p w:rsidR="00000000" w:rsidRPr="00832FDD" w:rsidP="00832FDD">
      <w:pPr>
        <w:pStyle w:val="Heading1"/>
      </w:pPr>
      <w:bookmarkStart w:id="4" w:name="O_941623"/>
      <w:bookmarkEnd w:id="4"/>
      <w:r w:rsidRPr="00832FDD">
        <w:t>Competency Field</w:t>
      </w:r>
    </w:p>
    <w:p w:rsidR="00000000" w:rsidRPr="00832FDD" w:rsidP="000035B5">
      <w:pPr>
        <w:pStyle w:val="BodyText"/>
      </w:pPr>
      <w:r w:rsidRPr="00832FDD">
        <w:t>Maintenance and diagnostics</w:t>
      </w:r>
    </w:p>
    <w:p w:rsidR="00000000" w:rsidRPr="00832FDD" w:rsidP="00832FDD">
      <w:pPr>
        <w:pStyle w:val="Heading1"/>
      </w:pPr>
      <w:bookmarkStart w:id="5" w:name="O_941621"/>
      <w:bookmarkEnd w:id="5"/>
      <w:r w:rsidRPr="00832FDD">
        <w:t>Elements and Performance Criteria</w:t>
      </w:r>
    </w:p>
    <w:tbl>
      <w:tblPr>
        <w:tblW w:w="0" w:type="auto"/>
        <w:tblLayout w:type="fixed"/>
        <w:tblCellMar>
          <w:left w:w="62" w:type="dxa"/>
          <w:right w:w="62" w:type="dxa"/>
        </w:tblCellMar>
        <w:tblLook w:val="0000"/>
      </w:tblPr>
      <w:tblGrid>
        <w:gridCol w:w="683"/>
        <w:gridCol w:w="1974"/>
        <w:gridCol w:w="775"/>
        <w:gridCol w:w="5641"/>
      </w:tblGrid>
      <w:tr w:rsidTr="00832FDD">
        <w:tblPrEx>
          <w:tblW w:w="0" w:type="auto"/>
          <w:tblLayout w:type="fixed"/>
          <w:tblCellMar>
            <w:left w:w="62" w:type="dxa"/>
            <w:right w:w="62" w:type="dxa"/>
          </w:tblCellMar>
          <w:tblLook w:val="0000"/>
        </w:tblPrEx>
        <w:trPr>
          <w:tblHeader/>
        </w:trPr>
        <w:tc>
          <w:tcPr>
            <w:tcW w:w="2657" w:type="dxa"/>
            <w:gridSpan w:val="2"/>
            <w:tcBorders>
              <w:top w:val="nil"/>
              <w:left w:val="nil"/>
              <w:bottom w:val="nil"/>
              <w:right w:val="nil"/>
            </w:tcBorders>
            <w:tcMar>
              <w:top w:w="0" w:type="dxa"/>
              <w:left w:w="62" w:type="dxa"/>
              <w:bottom w:w="0" w:type="dxa"/>
              <w:right w:w="62" w:type="dxa"/>
            </w:tcMar>
          </w:tcPr>
          <w:p w:rsidR="00000000" w:rsidP="00832FDD">
            <w:pPr>
              <w:pStyle w:val="BodyText"/>
              <w:rPr>
                <w:lang w:val="en-NZ"/>
              </w:rPr>
            </w:pPr>
            <w:r w:rsidRPr="00832FDD">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832FDD">
            <w:pPr>
              <w:pStyle w:val="BodyText"/>
              <w:rPr>
                <w:lang w:val="en-NZ"/>
              </w:rPr>
            </w:pPr>
            <w:r w:rsidRPr="00832FDD">
              <w:t>Performance criteria describe the performance needed to demonstrate achievement of the element.</w:t>
            </w:r>
          </w:p>
        </w:tc>
      </w:tr>
      <w:tr w:rsidTr="00832FD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832FDD" w:rsidP="00832FDD">
            <w:pPr>
              <w:pStyle w:val="BodyText"/>
            </w:pPr>
            <w:r w:rsidRPr="00832FDD">
              <w:t>1</w:t>
            </w:r>
          </w:p>
        </w:tc>
        <w:tc>
          <w:tcPr>
            <w:tcW w:w="1974" w:type="dxa"/>
            <w:vMerge w:val="restart"/>
            <w:tcBorders>
              <w:top w:val="nil"/>
              <w:left w:val="nil"/>
              <w:bottom w:val="nil"/>
              <w:right w:val="nil"/>
            </w:tcBorders>
            <w:tcMar>
              <w:top w:w="0" w:type="dxa"/>
              <w:left w:w="62" w:type="dxa"/>
              <w:bottom w:w="0" w:type="dxa"/>
              <w:right w:w="62" w:type="dxa"/>
            </w:tcMar>
          </w:tcPr>
          <w:p w:rsidR="00000000" w:rsidP="00832FDD">
            <w:pPr>
              <w:pStyle w:val="BodyText"/>
              <w:rPr>
                <w:lang w:val="en-NZ"/>
              </w:rPr>
            </w:pPr>
            <w:r w:rsidRPr="00832FDD">
              <w:rPr>
                <w:rStyle w:val="SpecialBold"/>
              </w:rPr>
              <w:t>Demonstrate knowledge of global warming and ozone layer depletion</w:t>
            </w:r>
          </w:p>
        </w:tc>
        <w:tc>
          <w:tcPr>
            <w:tcW w:w="775" w:type="dxa"/>
            <w:tcBorders>
              <w:top w:val="nil"/>
              <w:left w:val="nil"/>
              <w:bottom w:val="nil"/>
              <w:right w:val="nil"/>
            </w:tcBorders>
            <w:tcMar>
              <w:top w:w="0" w:type="dxa"/>
              <w:left w:w="62" w:type="dxa"/>
              <w:bottom w:w="0" w:type="dxa"/>
              <w:right w:w="62" w:type="dxa"/>
            </w:tcMar>
          </w:tcPr>
          <w:p w:rsidR="00000000" w:rsidP="00832FDD">
            <w:pPr>
              <w:pStyle w:val="BodyText"/>
              <w:rPr>
                <w:lang w:val="en-NZ"/>
              </w:rPr>
            </w:pPr>
            <w:r w:rsidRPr="00832FDD">
              <w:t>1.1</w:t>
            </w:r>
          </w:p>
        </w:tc>
        <w:tc>
          <w:tcPr>
            <w:tcW w:w="5641" w:type="dxa"/>
            <w:tcBorders>
              <w:top w:val="nil"/>
              <w:left w:val="nil"/>
              <w:bottom w:val="nil"/>
              <w:right w:val="nil"/>
            </w:tcBorders>
            <w:tcMar>
              <w:top w:w="0" w:type="dxa"/>
              <w:left w:w="62" w:type="dxa"/>
              <w:bottom w:w="0" w:type="dxa"/>
              <w:right w:w="62" w:type="dxa"/>
            </w:tcMar>
          </w:tcPr>
          <w:p w:rsidR="00000000" w:rsidP="00832FDD">
            <w:pPr>
              <w:pStyle w:val="BodyText"/>
              <w:rPr>
                <w:lang w:val="en-NZ"/>
              </w:rPr>
            </w:pPr>
            <w:r w:rsidRPr="00832FDD">
              <w:t>Identify the role of the ozone layer in the earth’s climate and human health</w:t>
            </w:r>
          </w:p>
        </w:tc>
      </w:tr>
      <w:tr w:rsidTr="00832FD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32FDD">
            <w:pPr>
              <w:pStyle w:val="BodyText"/>
              <w:rPr>
                <w:lang w:val="en-NZ"/>
              </w:rPr>
            </w:pPr>
            <w:r w:rsidRPr="00832FDD">
              <w:t>1.2</w:t>
            </w:r>
          </w:p>
        </w:tc>
        <w:tc>
          <w:tcPr>
            <w:tcW w:w="5641" w:type="dxa"/>
            <w:tcBorders>
              <w:top w:val="nil"/>
              <w:left w:val="nil"/>
              <w:bottom w:val="nil"/>
              <w:right w:val="nil"/>
            </w:tcBorders>
            <w:tcMar>
              <w:top w:w="0" w:type="dxa"/>
              <w:left w:w="62" w:type="dxa"/>
              <w:bottom w:w="0" w:type="dxa"/>
              <w:right w:w="62" w:type="dxa"/>
            </w:tcMar>
          </w:tcPr>
          <w:p w:rsidR="00000000" w:rsidP="00832FDD">
            <w:pPr>
              <w:pStyle w:val="BodyText"/>
              <w:rPr>
                <w:lang w:val="en-NZ"/>
              </w:rPr>
            </w:pPr>
            <w:r w:rsidRPr="00832FDD">
              <w:t xml:space="preserve">Explain effects of global warming and consequences of ozone layer depletion </w:t>
            </w:r>
          </w:p>
        </w:tc>
      </w:tr>
      <w:tr w:rsidTr="00832FD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32FDD">
            <w:pPr>
              <w:pStyle w:val="BodyText"/>
              <w:rPr>
                <w:lang w:val="en-NZ"/>
              </w:rPr>
            </w:pPr>
            <w:r w:rsidRPr="00832FDD">
              <w:t>1.3</w:t>
            </w:r>
          </w:p>
        </w:tc>
        <w:tc>
          <w:tcPr>
            <w:tcW w:w="5641" w:type="dxa"/>
            <w:tcBorders>
              <w:top w:val="nil"/>
              <w:left w:val="nil"/>
              <w:bottom w:val="nil"/>
              <w:right w:val="nil"/>
            </w:tcBorders>
            <w:tcMar>
              <w:top w:w="0" w:type="dxa"/>
              <w:left w:w="62" w:type="dxa"/>
              <w:bottom w:w="0" w:type="dxa"/>
              <w:right w:w="62" w:type="dxa"/>
            </w:tcMar>
          </w:tcPr>
          <w:p w:rsidR="00000000" w:rsidP="00832FDD">
            <w:pPr>
              <w:pStyle w:val="BodyText"/>
              <w:rPr>
                <w:lang w:val="en-NZ"/>
              </w:rPr>
            </w:pPr>
            <w:r w:rsidRPr="00832FDD">
              <w:t>Explain role of ozone depleting substances (ODS) and synthetic greenhouse gas (SGG) emissions in global warming</w:t>
            </w:r>
          </w:p>
        </w:tc>
      </w:tr>
      <w:tr w:rsidTr="00832FDD">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832FDD">
            <w:pPr>
              <w:pStyle w:val="BodyText"/>
              <w:rPr>
                <w:lang w:val="en-NZ"/>
              </w:rPr>
            </w:pPr>
          </w:p>
        </w:tc>
      </w:tr>
      <w:tr w:rsidTr="00832FD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832FDD" w:rsidP="00832FDD">
            <w:pPr>
              <w:pStyle w:val="BodyText"/>
            </w:pPr>
            <w:r w:rsidRPr="00832FDD">
              <w:t>2</w:t>
            </w:r>
          </w:p>
        </w:tc>
        <w:tc>
          <w:tcPr>
            <w:tcW w:w="1974" w:type="dxa"/>
            <w:vMerge w:val="restart"/>
            <w:tcBorders>
              <w:top w:val="nil"/>
              <w:left w:val="nil"/>
              <w:bottom w:val="nil"/>
              <w:right w:val="nil"/>
            </w:tcBorders>
            <w:tcMar>
              <w:top w:w="0" w:type="dxa"/>
              <w:left w:w="62" w:type="dxa"/>
              <w:bottom w:w="0" w:type="dxa"/>
              <w:right w:w="62" w:type="dxa"/>
            </w:tcMar>
          </w:tcPr>
          <w:p w:rsidR="00000000" w:rsidP="00832FDD">
            <w:pPr>
              <w:pStyle w:val="BodyText"/>
              <w:rPr>
                <w:lang w:val="en-NZ"/>
              </w:rPr>
            </w:pPr>
            <w:r w:rsidRPr="00832FDD">
              <w:rPr>
                <w:rStyle w:val="SpecialBold"/>
              </w:rPr>
              <w:t>Demonstrate knowledge of regulatory requirements in regards to fluorocarbon refrigerants</w:t>
            </w:r>
          </w:p>
        </w:tc>
        <w:tc>
          <w:tcPr>
            <w:tcW w:w="775" w:type="dxa"/>
            <w:tcBorders>
              <w:top w:val="nil"/>
              <w:left w:val="nil"/>
              <w:bottom w:val="nil"/>
              <w:right w:val="nil"/>
            </w:tcBorders>
            <w:tcMar>
              <w:top w:w="0" w:type="dxa"/>
              <w:left w:w="62" w:type="dxa"/>
              <w:bottom w:w="0" w:type="dxa"/>
              <w:right w:w="62" w:type="dxa"/>
            </w:tcMar>
          </w:tcPr>
          <w:p w:rsidR="00000000" w:rsidP="00832FDD">
            <w:pPr>
              <w:pStyle w:val="BodyText"/>
              <w:rPr>
                <w:lang w:val="en-NZ"/>
              </w:rPr>
            </w:pPr>
            <w:r w:rsidRPr="00832FDD">
              <w:t>2.1</w:t>
            </w:r>
          </w:p>
        </w:tc>
        <w:tc>
          <w:tcPr>
            <w:tcW w:w="5641" w:type="dxa"/>
            <w:tcBorders>
              <w:top w:val="nil"/>
              <w:left w:val="nil"/>
              <w:bottom w:val="nil"/>
              <w:right w:val="nil"/>
            </w:tcBorders>
            <w:tcMar>
              <w:top w:w="0" w:type="dxa"/>
              <w:left w:w="62" w:type="dxa"/>
              <w:bottom w:w="0" w:type="dxa"/>
              <w:right w:w="62" w:type="dxa"/>
            </w:tcMar>
          </w:tcPr>
          <w:p w:rsidR="00000000" w:rsidP="00832FDD">
            <w:pPr>
              <w:pStyle w:val="BodyText"/>
              <w:rPr>
                <w:lang w:val="en-NZ"/>
              </w:rPr>
            </w:pPr>
            <w:r w:rsidRPr="00832FDD">
              <w:t>Explain ARC licence classes and relationship to HVAC/R equipment</w:t>
            </w:r>
          </w:p>
        </w:tc>
      </w:tr>
      <w:tr w:rsidTr="00832FD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32FDD">
            <w:pPr>
              <w:pStyle w:val="BodyText"/>
              <w:rPr>
                <w:lang w:val="en-NZ"/>
              </w:rPr>
            </w:pPr>
            <w:r w:rsidRPr="00832FDD">
              <w:t>2.2</w:t>
            </w:r>
          </w:p>
        </w:tc>
        <w:tc>
          <w:tcPr>
            <w:tcW w:w="5641" w:type="dxa"/>
            <w:tcBorders>
              <w:top w:val="nil"/>
              <w:left w:val="nil"/>
              <w:bottom w:val="nil"/>
              <w:right w:val="nil"/>
            </w:tcBorders>
            <w:tcMar>
              <w:top w:w="0" w:type="dxa"/>
              <w:left w:w="62" w:type="dxa"/>
              <w:bottom w:w="0" w:type="dxa"/>
              <w:right w:w="62" w:type="dxa"/>
            </w:tcMar>
          </w:tcPr>
          <w:p w:rsidR="00000000" w:rsidP="00832FDD">
            <w:pPr>
              <w:pStyle w:val="BodyText"/>
              <w:rPr>
                <w:lang w:val="en-NZ"/>
              </w:rPr>
            </w:pPr>
            <w:r w:rsidRPr="00832FDD">
              <w:t>Identify requirements to apply for a Refrigerant Handling Licence – Qualified Persons Licence</w:t>
            </w:r>
          </w:p>
        </w:tc>
      </w:tr>
      <w:tr w:rsidTr="00832FD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32FDD">
            <w:pPr>
              <w:pStyle w:val="BodyText"/>
              <w:rPr>
                <w:lang w:val="en-NZ"/>
              </w:rPr>
            </w:pPr>
            <w:r w:rsidRPr="00832FDD">
              <w:t>2.3</w:t>
            </w:r>
          </w:p>
        </w:tc>
        <w:tc>
          <w:tcPr>
            <w:tcW w:w="5641" w:type="dxa"/>
            <w:tcBorders>
              <w:top w:val="nil"/>
              <w:left w:val="nil"/>
              <w:bottom w:val="nil"/>
              <w:right w:val="nil"/>
            </w:tcBorders>
            <w:tcMar>
              <w:top w:w="0" w:type="dxa"/>
              <w:left w:w="62" w:type="dxa"/>
              <w:bottom w:w="0" w:type="dxa"/>
              <w:right w:w="62" w:type="dxa"/>
            </w:tcMar>
          </w:tcPr>
          <w:p w:rsidR="00000000" w:rsidP="00832FDD">
            <w:pPr>
              <w:pStyle w:val="BodyText"/>
              <w:rPr>
                <w:lang w:val="en-NZ"/>
              </w:rPr>
            </w:pPr>
            <w:r w:rsidRPr="00832FDD">
              <w:t>Explain licence period and procedures to obtain or renew a licence</w:t>
            </w:r>
          </w:p>
        </w:tc>
      </w:tr>
      <w:tr w:rsidTr="00832FD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32FDD">
            <w:pPr>
              <w:pStyle w:val="BodyText"/>
              <w:rPr>
                <w:lang w:val="en-NZ"/>
              </w:rPr>
            </w:pPr>
            <w:r w:rsidRPr="00832FDD">
              <w:t>2.4</w:t>
            </w:r>
          </w:p>
        </w:tc>
        <w:tc>
          <w:tcPr>
            <w:tcW w:w="5641" w:type="dxa"/>
            <w:tcBorders>
              <w:top w:val="nil"/>
              <w:left w:val="nil"/>
              <w:bottom w:val="nil"/>
              <w:right w:val="nil"/>
            </w:tcBorders>
            <w:tcMar>
              <w:top w:w="0" w:type="dxa"/>
              <w:left w:w="62" w:type="dxa"/>
              <w:bottom w:w="0" w:type="dxa"/>
              <w:right w:w="62" w:type="dxa"/>
            </w:tcMar>
          </w:tcPr>
          <w:p w:rsidR="00000000" w:rsidP="00832FDD">
            <w:pPr>
              <w:pStyle w:val="BodyText"/>
              <w:rPr>
                <w:lang w:val="en-NZ"/>
              </w:rPr>
            </w:pPr>
            <w:r w:rsidRPr="00832FDD">
              <w:t>Explain refrigerant coding and numbering system, including classification for toxicity and flammability</w:t>
            </w:r>
          </w:p>
        </w:tc>
      </w:tr>
      <w:tr w:rsidTr="00832FD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32FDD">
            <w:pPr>
              <w:pStyle w:val="BodyText"/>
              <w:rPr>
                <w:lang w:val="en-NZ"/>
              </w:rPr>
            </w:pPr>
            <w:r w:rsidRPr="00832FDD">
              <w:t>2.5</w:t>
            </w:r>
          </w:p>
        </w:tc>
        <w:tc>
          <w:tcPr>
            <w:tcW w:w="5641" w:type="dxa"/>
            <w:tcBorders>
              <w:top w:val="nil"/>
              <w:left w:val="nil"/>
              <w:bottom w:val="nil"/>
              <w:right w:val="nil"/>
            </w:tcBorders>
            <w:tcMar>
              <w:top w:w="0" w:type="dxa"/>
              <w:left w:w="62" w:type="dxa"/>
              <w:bottom w:w="0" w:type="dxa"/>
              <w:right w:w="62" w:type="dxa"/>
            </w:tcMar>
          </w:tcPr>
          <w:p w:rsidR="00000000" w:rsidP="00832FDD">
            <w:pPr>
              <w:pStyle w:val="BodyText"/>
              <w:rPr>
                <w:lang w:val="en-NZ"/>
              </w:rPr>
            </w:pPr>
            <w:r w:rsidRPr="00832FDD">
              <w:t>Identify the range of refrigerants covered by ARC licencing</w:t>
            </w:r>
          </w:p>
        </w:tc>
      </w:tr>
      <w:tr w:rsidTr="00832FD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32FDD">
            <w:pPr>
              <w:pStyle w:val="BodyText"/>
              <w:rPr>
                <w:lang w:val="en-NZ"/>
              </w:rPr>
            </w:pPr>
            <w:r w:rsidRPr="00832FDD">
              <w:t>2.6</w:t>
            </w:r>
          </w:p>
        </w:tc>
        <w:tc>
          <w:tcPr>
            <w:tcW w:w="5641" w:type="dxa"/>
            <w:tcBorders>
              <w:top w:val="nil"/>
              <w:left w:val="nil"/>
              <w:bottom w:val="nil"/>
              <w:right w:val="nil"/>
            </w:tcBorders>
            <w:tcMar>
              <w:top w:w="0" w:type="dxa"/>
              <w:left w:w="62" w:type="dxa"/>
              <w:bottom w:w="0" w:type="dxa"/>
              <w:right w:w="62" w:type="dxa"/>
            </w:tcMar>
          </w:tcPr>
          <w:p w:rsidR="00000000" w:rsidP="00832FDD">
            <w:pPr>
              <w:pStyle w:val="BodyText"/>
              <w:rPr>
                <w:lang w:val="en-NZ"/>
              </w:rPr>
            </w:pPr>
            <w:r w:rsidRPr="00832FDD">
              <w:t>Identify role of ODS and SGG handling licences and trading authorisations in r</w:t>
            </w:r>
            <w:r w:rsidRPr="00832FDD">
              <w:t>efrigerant handling and disposal</w:t>
            </w:r>
          </w:p>
        </w:tc>
      </w:tr>
      <w:tr w:rsidTr="00832FD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32FDD">
            <w:pPr>
              <w:pStyle w:val="BodyText"/>
              <w:rPr>
                <w:lang w:val="en-NZ"/>
              </w:rPr>
            </w:pPr>
            <w:r w:rsidRPr="00832FDD">
              <w:t>2.7</w:t>
            </w:r>
          </w:p>
        </w:tc>
        <w:tc>
          <w:tcPr>
            <w:tcW w:w="5641" w:type="dxa"/>
            <w:tcBorders>
              <w:top w:val="nil"/>
              <w:left w:val="nil"/>
              <w:bottom w:val="nil"/>
              <w:right w:val="nil"/>
            </w:tcBorders>
            <w:tcMar>
              <w:top w:w="0" w:type="dxa"/>
              <w:left w:w="62" w:type="dxa"/>
              <w:bottom w:w="0" w:type="dxa"/>
              <w:right w:w="62" w:type="dxa"/>
            </w:tcMar>
          </w:tcPr>
          <w:p w:rsidR="00000000" w:rsidP="00832FDD">
            <w:pPr>
              <w:pStyle w:val="BodyText"/>
              <w:rPr>
                <w:lang w:val="en-NZ"/>
              </w:rPr>
            </w:pPr>
            <w:r w:rsidRPr="00832FDD">
              <w:t>Access information in the Australia and New Zealand Refrigerant Handling Code of Practice relating to specific work tasks</w:t>
            </w:r>
          </w:p>
        </w:tc>
      </w:tr>
      <w:tr w:rsidTr="00832FDD">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832FDD">
            <w:pPr>
              <w:pStyle w:val="BodyText"/>
              <w:rPr>
                <w:lang w:val="en-NZ"/>
              </w:rPr>
            </w:pPr>
          </w:p>
        </w:tc>
      </w:tr>
      <w:tr w:rsidTr="00832FD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832FDD" w:rsidP="00832FDD">
            <w:pPr>
              <w:pStyle w:val="BodyText"/>
            </w:pPr>
            <w:r w:rsidRPr="00832FDD">
              <w:t>3</w:t>
            </w:r>
          </w:p>
        </w:tc>
        <w:tc>
          <w:tcPr>
            <w:tcW w:w="1974" w:type="dxa"/>
            <w:vMerge w:val="restart"/>
            <w:tcBorders>
              <w:top w:val="nil"/>
              <w:left w:val="nil"/>
              <w:bottom w:val="nil"/>
              <w:right w:val="nil"/>
            </w:tcBorders>
            <w:tcMar>
              <w:top w:w="0" w:type="dxa"/>
              <w:left w:w="62" w:type="dxa"/>
              <w:bottom w:w="0" w:type="dxa"/>
              <w:right w:w="62" w:type="dxa"/>
            </w:tcMar>
          </w:tcPr>
          <w:p w:rsidR="00000000" w:rsidP="00832FDD">
            <w:pPr>
              <w:pStyle w:val="BodyText"/>
              <w:rPr>
                <w:lang w:val="en-NZ"/>
              </w:rPr>
            </w:pPr>
            <w:r w:rsidRPr="00832FDD">
              <w:rPr>
                <w:rStyle w:val="SpecialBold"/>
              </w:rPr>
              <w:t>Determine job requirements</w:t>
            </w:r>
          </w:p>
        </w:tc>
        <w:tc>
          <w:tcPr>
            <w:tcW w:w="775" w:type="dxa"/>
            <w:tcBorders>
              <w:top w:val="nil"/>
              <w:left w:val="nil"/>
              <w:bottom w:val="nil"/>
              <w:right w:val="nil"/>
            </w:tcBorders>
            <w:tcMar>
              <w:top w:w="0" w:type="dxa"/>
              <w:left w:w="62" w:type="dxa"/>
              <w:bottom w:w="0" w:type="dxa"/>
              <w:right w:w="62" w:type="dxa"/>
            </w:tcMar>
          </w:tcPr>
          <w:p w:rsidR="00000000" w:rsidP="00832FDD">
            <w:pPr>
              <w:pStyle w:val="BodyText"/>
              <w:rPr>
                <w:lang w:val="en-NZ"/>
              </w:rPr>
            </w:pPr>
            <w:r w:rsidRPr="00832FDD">
              <w:t>3.1</w:t>
            </w:r>
          </w:p>
        </w:tc>
        <w:tc>
          <w:tcPr>
            <w:tcW w:w="5641" w:type="dxa"/>
            <w:tcBorders>
              <w:top w:val="nil"/>
              <w:left w:val="nil"/>
              <w:bottom w:val="nil"/>
              <w:right w:val="nil"/>
            </w:tcBorders>
            <w:tcMar>
              <w:top w:w="0" w:type="dxa"/>
              <w:left w:w="62" w:type="dxa"/>
              <w:bottom w:w="0" w:type="dxa"/>
              <w:right w:w="62" w:type="dxa"/>
            </w:tcMar>
          </w:tcPr>
          <w:p w:rsidR="00000000" w:rsidP="00832FDD">
            <w:pPr>
              <w:pStyle w:val="BodyText"/>
              <w:rPr>
                <w:lang w:val="en-NZ"/>
              </w:rPr>
            </w:pPr>
            <w:r w:rsidRPr="00832FDD">
              <w:t>Identify job requirements from customer order, work specification or other enterprise procedure</w:t>
            </w:r>
          </w:p>
        </w:tc>
      </w:tr>
      <w:tr w:rsidTr="00832FD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32FDD">
            <w:pPr>
              <w:pStyle w:val="BodyText"/>
              <w:rPr>
                <w:lang w:val="en-NZ"/>
              </w:rPr>
            </w:pPr>
            <w:r w:rsidRPr="00832FDD">
              <w:t>3.2</w:t>
            </w:r>
          </w:p>
        </w:tc>
        <w:tc>
          <w:tcPr>
            <w:tcW w:w="5641" w:type="dxa"/>
            <w:tcBorders>
              <w:top w:val="nil"/>
              <w:left w:val="nil"/>
              <w:bottom w:val="nil"/>
              <w:right w:val="nil"/>
            </w:tcBorders>
            <w:tcMar>
              <w:top w:w="0" w:type="dxa"/>
              <w:left w:w="62" w:type="dxa"/>
              <w:bottom w:w="0" w:type="dxa"/>
              <w:right w:w="62" w:type="dxa"/>
            </w:tcMar>
          </w:tcPr>
          <w:p w:rsidR="00000000" w:rsidP="00832FDD">
            <w:pPr>
              <w:pStyle w:val="BodyText"/>
              <w:rPr>
                <w:lang w:val="en-NZ"/>
              </w:rPr>
            </w:pPr>
            <w:r w:rsidRPr="00832FDD">
              <w:t>Determine if required work includes risk of refrigerant emission</w:t>
            </w:r>
          </w:p>
        </w:tc>
      </w:tr>
      <w:tr w:rsidTr="00832FD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32FDD">
            <w:pPr>
              <w:pStyle w:val="BodyText"/>
              <w:rPr>
                <w:lang w:val="en-NZ"/>
              </w:rPr>
            </w:pPr>
            <w:r w:rsidRPr="00832FDD">
              <w:t>3.3</w:t>
            </w:r>
          </w:p>
        </w:tc>
        <w:tc>
          <w:tcPr>
            <w:tcW w:w="5641" w:type="dxa"/>
            <w:tcBorders>
              <w:top w:val="nil"/>
              <w:left w:val="nil"/>
              <w:bottom w:val="nil"/>
              <w:right w:val="nil"/>
            </w:tcBorders>
            <w:tcMar>
              <w:top w:w="0" w:type="dxa"/>
              <w:left w:w="62" w:type="dxa"/>
              <w:bottom w:w="0" w:type="dxa"/>
              <w:right w:w="62" w:type="dxa"/>
            </w:tcMar>
          </w:tcPr>
          <w:p w:rsidR="00000000" w:rsidP="00832FDD">
            <w:pPr>
              <w:pStyle w:val="BodyText"/>
              <w:rPr>
                <w:lang w:val="en-NZ"/>
              </w:rPr>
            </w:pPr>
            <w:r w:rsidRPr="00832FDD">
              <w:t>Check refrigerant handling equipment is available and serviceable</w:t>
            </w:r>
          </w:p>
        </w:tc>
      </w:tr>
      <w:tr w:rsidTr="00832FD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32FDD">
            <w:pPr>
              <w:pStyle w:val="BodyText"/>
              <w:rPr>
                <w:lang w:val="en-NZ"/>
              </w:rPr>
            </w:pPr>
            <w:r w:rsidRPr="00832FDD">
              <w:t>3.4</w:t>
            </w:r>
          </w:p>
        </w:tc>
        <w:tc>
          <w:tcPr>
            <w:tcW w:w="5641" w:type="dxa"/>
            <w:tcBorders>
              <w:top w:val="nil"/>
              <w:left w:val="nil"/>
              <w:bottom w:val="nil"/>
              <w:right w:val="nil"/>
            </w:tcBorders>
            <w:tcMar>
              <w:top w:w="0" w:type="dxa"/>
              <w:left w:w="62" w:type="dxa"/>
              <w:bottom w:w="0" w:type="dxa"/>
              <w:right w:w="62" w:type="dxa"/>
            </w:tcMar>
          </w:tcPr>
          <w:p w:rsidR="00000000" w:rsidP="00832FDD">
            <w:pPr>
              <w:pStyle w:val="BodyText"/>
              <w:rPr>
                <w:lang w:val="en-NZ"/>
              </w:rPr>
            </w:pPr>
            <w:r w:rsidRPr="00832FDD">
              <w:t>Plan work tasks to conform to regulatory requirements</w:t>
            </w:r>
          </w:p>
        </w:tc>
      </w:tr>
      <w:tr w:rsidTr="00832FDD">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832FDD">
            <w:pPr>
              <w:pStyle w:val="BodyText"/>
              <w:rPr>
                <w:lang w:val="en-NZ"/>
              </w:rPr>
            </w:pPr>
          </w:p>
        </w:tc>
      </w:tr>
      <w:tr w:rsidTr="00832FD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832FDD" w:rsidP="00832FDD">
            <w:pPr>
              <w:pStyle w:val="BodyText"/>
            </w:pPr>
            <w:r w:rsidRPr="00832FDD">
              <w:t>4</w:t>
            </w:r>
          </w:p>
        </w:tc>
        <w:tc>
          <w:tcPr>
            <w:tcW w:w="1974" w:type="dxa"/>
            <w:vMerge w:val="restart"/>
            <w:tcBorders>
              <w:top w:val="nil"/>
              <w:left w:val="nil"/>
              <w:bottom w:val="nil"/>
              <w:right w:val="nil"/>
            </w:tcBorders>
            <w:tcMar>
              <w:top w:w="0" w:type="dxa"/>
              <w:left w:w="62" w:type="dxa"/>
              <w:bottom w:w="0" w:type="dxa"/>
              <w:right w:w="62" w:type="dxa"/>
            </w:tcMar>
          </w:tcPr>
          <w:p w:rsidR="00000000" w:rsidP="00832FDD">
            <w:pPr>
              <w:pStyle w:val="BodyText"/>
              <w:rPr>
                <w:lang w:val="en-NZ"/>
              </w:rPr>
            </w:pPr>
            <w:r w:rsidRPr="00832FDD">
              <w:rPr>
                <w:rStyle w:val="SpecialBold"/>
              </w:rPr>
              <w:t>Assess equipment and refrigerant status prior to commencement of work</w:t>
            </w:r>
          </w:p>
        </w:tc>
        <w:tc>
          <w:tcPr>
            <w:tcW w:w="775" w:type="dxa"/>
            <w:tcBorders>
              <w:top w:val="nil"/>
              <w:left w:val="nil"/>
              <w:bottom w:val="nil"/>
              <w:right w:val="nil"/>
            </w:tcBorders>
            <w:tcMar>
              <w:top w:w="0" w:type="dxa"/>
              <w:left w:w="62" w:type="dxa"/>
              <w:bottom w:w="0" w:type="dxa"/>
              <w:right w:w="62" w:type="dxa"/>
            </w:tcMar>
          </w:tcPr>
          <w:p w:rsidR="00000000" w:rsidP="00832FDD">
            <w:pPr>
              <w:pStyle w:val="BodyText"/>
              <w:rPr>
                <w:lang w:val="en-NZ"/>
              </w:rPr>
            </w:pPr>
            <w:r w:rsidRPr="00832FDD">
              <w:t>4.1</w:t>
            </w:r>
          </w:p>
        </w:tc>
        <w:tc>
          <w:tcPr>
            <w:tcW w:w="5641" w:type="dxa"/>
            <w:tcBorders>
              <w:top w:val="nil"/>
              <w:left w:val="nil"/>
              <w:bottom w:val="nil"/>
              <w:right w:val="nil"/>
            </w:tcBorders>
            <w:tcMar>
              <w:top w:w="0" w:type="dxa"/>
              <w:left w:w="62" w:type="dxa"/>
              <w:bottom w:w="0" w:type="dxa"/>
              <w:right w:w="62" w:type="dxa"/>
            </w:tcMar>
          </w:tcPr>
          <w:p w:rsidR="00000000" w:rsidP="00832FDD">
            <w:pPr>
              <w:pStyle w:val="BodyText"/>
              <w:rPr>
                <w:lang w:val="en-NZ"/>
              </w:rPr>
            </w:pPr>
            <w:r w:rsidRPr="00832FDD">
              <w:t>Check refrigerant label on equipment and confirm refrigerant is appropriate for equipment</w:t>
            </w:r>
          </w:p>
        </w:tc>
      </w:tr>
      <w:tr w:rsidTr="00832FD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32FDD">
            <w:pPr>
              <w:pStyle w:val="BodyText"/>
              <w:rPr>
                <w:lang w:val="en-NZ"/>
              </w:rPr>
            </w:pPr>
            <w:r w:rsidRPr="00832FDD">
              <w:t>4.2</w:t>
            </w:r>
          </w:p>
        </w:tc>
        <w:tc>
          <w:tcPr>
            <w:tcW w:w="5641" w:type="dxa"/>
            <w:tcBorders>
              <w:top w:val="nil"/>
              <w:left w:val="nil"/>
              <w:bottom w:val="nil"/>
              <w:right w:val="nil"/>
            </w:tcBorders>
            <w:tcMar>
              <w:top w:w="0" w:type="dxa"/>
              <w:left w:w="62" w:type="dxa"/>
              <w:bottom w:w="0" w:type="dxa"/>
              <w:right w:w="62" w:type="dxa"/>
            </w:tcMar>
          </w:tcPr>
          <w:p w:rsidR="00000000" w:rsidP="00832FDD">
            <w:pPr>
              <w:pStyle w:val="BodyText"/>
              <w:rPr>
                <w:lang w:val="en-NZ"/>
              </w:rPr>
            </w:pPr>
            <w:r w:rsidRPr="00832FDD">
              <w:t>Adjust work plan to avoid any venting if refrigerant is unable to be positively identified</w:t>
            </w:r>
          </w:p>
        </w:tc>
      </w:tr>
      <w:tr w:rsidTr="00832FD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32FDD">
            <w:pPr>
              <w:pStyle w:val="BodyText"/>
              <w:rPr>
                <w:lang w:val="en-NZ"/>
              </w:rPr>
            </w:pPr>
            <w:r w:rsidRPr="00832FDD">
              <w:t>4.3</w:t>
            </w:r>
          </w:p>
        </w:tc>
        <w:tc>
          <w:tcPr>
            <w:tcW w:w="5641" w:type="dxa"/>
            <w:tcBorders>
              <w:top w:val="nil"/>
              <w:left w:val="nil"/>
              <w:bottom w:val="nil"/>
              <w:right w:val="nil"/>
            </w:tcBorders>
            <w:tcMar>
              <w:top w:w="0" w:type="dxa"/>
              <w:left w:w="62" w:type="dxa"/>
              <w:bottom w:w="0" w:type="dxa"/>
              <w:right w:w="62" w:type="dxa"/>
            </w:tcMar>
          </w:tcPr>
          <w:p w:rsidR="00000000" w:rsidP="00832FDD">
            <w:pPr>
              <w:pStyle w:val="BodyText"/>
              <w:rPr>
                <w:lang w:val="en-NZ"/>
              </w:rPr>
            </w:pPr>
            <w:r w:rsidRPr="00832FDD">
              <w:t>Identify if refrigerant is flammable and if so check for potential ignition sources and provide appropriate ignition source protection or elimination</w:t>
            </w:r>
          </w:p>
        </w:tc>
      </w:tr>
      <w:tr w:rsidTr="00832FD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32FDD">
            <w:pPr>
              <w:pStyle w:val="BodyText"/>
              <w:rPr>
                <w:lang w:val="en-NZ"/>
              </w:rPr>
            </w:pPr>
            <w:r w:rsidRPr="00832FDD">
              <w:t>4.4</w:t>
            </w:r>
          </w:p>
        </w:tc>
        <w:tc>
          <w:tcPr>
            <w:tcW w:w="5641" w:type="dxa"/>
            <w:tcBorders>
              <w:top w:val="nil"/>
              <w:left w:val="nil"/>
              <w:bottom w:val="nil"/>
              <w:right w:val="nil"/>
            </w:tcBorders>
            <w:tcMar>
              <w:top w:w="0" w:type="dxa"/>
              <w:left w:w="62" w:type="dxa"/>
              <w:bottom w:w="0" w:type="dxa"/>
              <w:right w:w="62" w:type="dxa"/>
            </w:tcMar>
          </w:tcPr>
          <w:p w:rsidR="00000000" w:rsidP="00832FDD">
            <w:pPr>
              <w:pStyle w:val="BodyText"/>
              <w:rPr>
                <w:lang w:val="en-NZ"/>
              </w:rPr>
            </w:pPr>
            <w:r w:rsidRPr="00832FDD">
              <w:t>Conduct visual check and other tests for gross leaks</w:t>
            </w:r>
          </w:p>
        </w:tc>
      </w:tr>
      <w:tr w:rsidTr="00832FD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32FDD">
            <w:pPr>
              <w:pStyle w:val="BodyText"/>
              <w:rPr>
                <w:lang w:val="en-NZ"/>
              </w:rPr>
            </w:pPr>
            <w:r w:rsidRPr="00832FDD">
              <w:t>4.5</w:t>
            </w:r>
          </w:p>
        </w:tc>
        <w:tc>
          <w:tcPr>
            <w:tcW w:w="5641" w:type="dxa"/>
            <w:tcBorders>
              <w:top w:val="nil"/>
              <w:left w:val="nil"/>
              <w:bottom w:val="nil"/>
              <w:right w:val="nil"/>
            </w:tcBorders>
            <w:tcMar>
              <w:top w:w="0" w:type="dxa"/>
              <w:left w:w="62" w:type="dxa"/>
              <w:bottom w:w="0" w:type="dxa"/>
              <w:right w:w="62" w:type="dxa"/>
            </w:tcMar>
          </w:tcPr>
          <w:p w:rsidR="00000000" w:rsidP="00832FDD">
            <w:pPr>
              <w:pStyle w:val="BodyText"/>
              <w:rPr>
                <w:lang w:val="en-NZ"/>
              </w:rPr>
            </w:pPr>
            <w:r w:rsidRPr="00832FDD">
              <w:t>Conduct other appropriate leak tests</w:t>
            </w:r>
          </w:p>
        </w:tc>
      </w:tr>
      <w:tr w:rsidTr="00832FD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32FDD">
            <w:pPr>
              <w:pStyle w:val="BodyText"/>
              <w:rPr>
                <w:lang w:val="en-NZ"/>
              </w:rPr>
            </w:pPr>
            <w:r w:rsidRPr="00832FDD">
              <w:t>4.6</w:t>
            </w:r>
          </w:p>
        </w:tc>
        <w:tc>
          <w:tcPr>
            <w:tcW w:w="5641" w:type="dxa"/>
            <w:tcBorders>
              <w:top w:val="nil"/>
              <w:left w:val="nil"/>
              <w:bottom w:val="nil"/>
              <w:right w:val="nil"/>
            </w:tcBorders>
            <w:tcMar>
              <w:top w:w="0" w:type="dxa"/>
              <w:left w:w="62" w:type="dxa"/>
              <w:bottom w:w="0" w:type="dxa"/>
              <w:right w:w="62" w:type="dxa"/>
            </w:tcMar>
          </w:tcPr>
          <w:p w:rsidR="00000000" w:rsidP="00832FDD">
            <w:pPr>
              <w:pStyle w:val="BodyText"/>
              <w:rPr>
                <w:lang w:val="en-NZ"/>
              </w:rPr>
            </w:pPr>
            <w:r w:rsidRPr="00832FDD">
              <w:t>Adjust work plan to include rectification of leaks</w:t>
            </w:r>
          </w:p>
        </w:tc>
      </w:tr>
      <w:tr w:rsidTr="00832FDD">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832FDD">
            <w:pPr>
              <w:pStyle w:val="BodyText"/>
              <w:rPr>
                <w:lang w:val="en-NZ"/>
              </w:rPr>
            </w:pPr>
          </w:p>
        </w:tc>
      </w:tr>
      <w:tr w:rsidTr="00832FD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832FDD" w:rsidP="00832FDD">
            <w:pPr>
              <w:pStyle w:val="BodyText"/>
            </w:pPr>
            <w:r w:rsidRPr="00832FDD">
              <w:t>5</w:t>
            </w:r>
          </w:p>
        </w:tc>
        <w:tc>
          <w:tcPr>
            <w:tcW w:w="1974" w:type="dxa"/>
            <w:vMerge w:val="restart"/>
            <w:tcBorders>
              <w:top w:val="nil"/>
              <w:left w:val="nil"/>
              <w:bottom w:val="nil"/>
              <w:right w:val="nil"/>
            </w:tcBorders>
            <w:tcMar>
              <w:top w:w="0" w:type="dxa"/>
              <w:left w:w="62" w:type="dxa"/>
              <w:bottom w:w="0" w:type="dxa"/>
              <w:right w:w="62" w:type="dxa"/>
            </w:tcMar>
          </w:tcPr>
          <w:p w:rsidR="00000000" w:rsidP="00832FDD">
            <w:pPr>
              <w:pStyle w:val="BodyText"/>
              <w:rPr>
                <w:lang w:val="en-NZ"/>
              </w:rPr>
            </w:pPr>
            <w:r w:rsidRPr="00832FDD">
              <w:rPr>
                <w:rStyle w:val="SpecialBold"/>
              </w:rPr>
              <w:t>Apply regulations, codes and standards to refrigeration and air conditioning work</w:t>
            </w:r>
          </w:p>
        </w:tc>
        <w:tc>
          <w:tcPr>
            <w:tcW w:w="775" w:type="dxa"/>
            <w:tcBorders>
              <w:top w:val="nil"/>
              <w:left w:val="nil"/>
              <w:bottom w:val="nil"/>
              <w:right w:val="nil"/>
            </w:tcBorders>
            <w:tcMar>
              <w:top w:w="0" w:type="dxa"/>
              <w:left w:w="62" w:type="dxa"/>
              <w:bottom w:w="0" w:type="dxa"/>
              <w:right w:w="62" w:type="dxa"/>
            </w:tcMar>
          </w:tcPr>
          <w:p w:rsidR="00000000" w:rsidP="00832FDD">
            <w:pPr>
              <w:pStyle w:val="BodyText"/>
              <w:rPr>
                <w:lang w:val="en-NZ"/>
              </w:rPr>
            </w:pPr>
            <w:r w:rsidRPr="00832FDD">
              <w:t>5.1</w:t>
            </w:r>
          </w:p>
        </w:tc>
        <w:tc>
          <w:tcPr>
            <w:tcW w:w="5641" w:type="dxa"/>
            <w:tcBorders>
              <w:top w:val="nil"/>
              <w:left w:val="nil"/>
              <w:bottom w:val="nil"/>
              <w:right w:val="nil"/>
            </w:tcBorders>
            <w:tcMar>
              <w:top w:w="0" w:type="dxa"/>
              <w:left w:w="62" w:type="dxa"/>
              <w:bottom w:w="0" w:type="dxa"/>
              <w:right w:w="62" w:type="dxa"/>
            </w:tcMar>
          </w:tcPr>
          <w:p w:rsidR="00000000" w:rsidP="00832FDD">
            <w:pPr>
              <w:pStyle w:val="BodyText"/>
              <w:rPr>
                <w:lang w:val="en-NZ"/>
              </w:rPr>
            </w:pPr>
            <w:r w:rsidRPr="00832FDD">
              <w:t xml:space="preserve">Apply regulations, codes and standards to installation, servicing, repair or decommissioning of equipment and systems </w:t>
            </w:r>
          </w:p>
        </w:tc>
      </w:tr>
      <w:tr w:rsidTr="00832FD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32FDD">
            <w:pPr>
              <w:pStyle w:val="BodyText"/>
              <w:rPr>
                <w:lang w:val="en-NZ"/>
              </w:rPr>
            </w:pPr>
            <w:r w:rsidRPr="00832FDD">
              <w:t>5.2</w:t>
            </w:r>
          </w:p>
        </w:tc>
        <w:tc>
          <w:tcPr>
            <w:tcW w:w="5641" w:type="dxa"/>
            <w:tcBorders>
              <w:top w:val="nil"/>
              <w:left w:val="nil"/>
              <w:bottom w:val="nil"/>
              <w:right w:val="nil"/>
            </w:tcBorders>
            <w:tcMar>
              <w:top w:w="0" w:type="dxa"/>
              <w:left w:w="62" w:type="dxa"/>
              <w:bottom w:w="0" w:type="dxa"/>
              <w:right w:w="62" w:type="dxa"/>
            </w:tcMar>
          </w:tcPr>
          <w:p w:rsidR="00000000" w:rsidP="00832FDD">
            <w:pPr>
              <w:pStyle w:val="BodyText"/>
              <w:rPr>
                <w:lang w:val="en-NZ"/>
              </w:rPr>
            </w:pPr>
            <w:r w:rsidRPr="00832FDD">
              <w:t>Establish or maintain appropriate ventilation and temporary flammable zone for equipment with flammable refrigerant</w:t>
            </w:r>
          </w:p>
        </w:tc>
      </w:tr>
      <w:tr w:rsidTr="00832FD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32FDD">
            <w:pPr>
              <w:pStyle w:val="BodyText"/>
              <w:rPr>
                <w:lang w:val="en-NZ"/>
              </w:rPr>
            </w:pPr>
            <w:r w:rsidRPr="00832FDD">
              <w:t>5.3</w:t>
            </w:r>
          </w:p>
        </w:tc>
        <w:tc>
          <w:tcPr>
            <w:tcW w:w="5641" w:type="dxa"/>
            <w:tcBorders>
              <w:top w:val="nil"/>
              <w:left w:val="nil"/>
              <w:bottom w:val="nil"/>
              <w:right w:val="nil"/>
            </w:tcBorders>
            <w:tcMar>
              <w:top w:w="0" w:type="dxa"/>
              <w:left w:w="62" w:type="dxa"/>
              <w:bottom w:w="0" w:type="dxa"/>
              <w:right w:w="62" w:type="dxa"/>
            </w:tcMar>
          </w:tcPr>
          <w:p w:rsidR="00000000" w:rsidP="00832FDD">
            <w:pPr>
              <w:pStyle w:val="BodyText"/>
              <w:rPr>
                <w:lang w:val="en-NZ"/>
              </w:rPr>
            </w:pPr>
            <w:r w:rsidRPr="00832FDD">
              <w:t>Set and locate gas detectors appropriately for type of equipment</w:t>
            </w:r>
          </w:p>
        </w:tc>
      </w:tr>
      <w:tr w:rsidTr="00832FD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32FDD">
            <w:pPr>
              <w:pStyle w:val="BodyText"/>
              <w:rPr>
                <w:lang w:val="en-NZ"/>
              </w:rPr>
            </w:pPr>
            <w:r w:rsidRPr="00832FDD">
              <w:t>5.4</w:t>
            </w:r>
          </w:p>
        </w:tc>
        <w:tc>
          <w:tcPr>
            <w:tcW w:w="5641" w:type="dxa"/>
            <w:tcBorders>
              <w:top w:val="nil"/>
              <w:left w:val="nil"/>
              <w:bottom w:val="nil"/>
              <w:right w:val="nil"/>
            </w:tcBorders>
            <w:tcMar>
              <w:top w:w="0" w:type="dxa"/>
              <w:left w:w="62" w:type="dxa"/>
              <w:bottom w:w="0" w:type="dxa"/>
              <w:right w:w="62" w:type="dxa"/>
            </w:tcMar>
          </w:tcPr>
          <w:p w:rsidR="00000000" w:rsidP="00832FDD">
            <w:pPr>
              <w:pStyle w:val="BodyText"/>
              <w:rPr>
                <w:lang w:val="en-NZ"/>
              </w:rPr>
            </w:pPr>
            <w:r w:rsidRPr="00832FDD">
              <w:t>Conduct leak testing according to regulations, codes and standards</w:t>
            </w:r>
          </w:p>
        </w:tc>
      </w:tr>
      <w:tr w:rsidTr="00832FD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32FDD">
            <w:pPr>
              <w:pStyle w:val="BodyText"/>
              <w:rPr>
                <w:lang w:val="en-NZ"/>
              </w:rPr>
            </w:pPr>
            <w:r w:rsidRPr="00832FDD">
              <w:t>5.5</w:t>
            </w:r>
          </w:p>
        </w:tc>
        <w:tc>
          <w:tcPr>
            <w:tcW w:w="5641" w:type="dxa"/>
            <w:tcBorders>
              <w:top w:val="nil"/>
              <w:left w:val="nil"/>
              <w:bottom w:val="nil"/>
              <w:right w:val="nil"/>
            </w:tcBorders>
            <w:tcMar>
              <w:top w:w="0" w:type="dxa"/>
              <w:left w:w="62" w:type="dxa"/>
              <w:bottom w:w="0" w:type="dxa"/>
              <w:right w:w="62" w:type="dxa"/>
            </w:tcMar>
          </w:tcPr>
          <w:p w:rsidR="00000000" w:rsidP="00832FDD">
            <w:pPr>
              <w:pStyle w:val="BodyText"/>
              <w:rPr>
                <w:lang w:val="en-NZ"/>
              </w:rPr>
            </w:pPr>
            <w:r w:rsidRPr="00832FDD">
              <w:t>Evacuate equipment according to regulations, codes and standards</w:t>
            </w:r>
          </w:p>
        </w:tc>
      </w:tr>
      <w:tr w:rsidTr="00832FD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32FDD">
            <w:pPr>
              <w:pStyle w:val="BodyText"/>
              <w:rPr>
                <w:lang w:val="en-NZ"/>
              </w:rPr>
            </w:pPr>
            <w:r w:rsidRPr="00832FDD">
              <w:t>5.6</w:t>
            </w:r>
          </w:p>
        </w:tc>
        <w:tc>
          <w:tcPr>
            <w:tcW w:w="5641" w:type="dxa"/>
            <w:tcBorders>
              <w:top w:val="nil"/>
              <w:left w:val="nil"/>
              <w:bottom w:val="nil"/>
              <w:right w:val="nil"/>
            </w:tcBorders>
            <w:tcMar>
              <w:top w:w="0" w:type="dxa"/>
              <w:left w:w="62" w:type="dxa"/>
              <w:bottom w:w="0" w:type="dxa"/>
              <w:right w:w="62" w:type="dxa"/>
            </w:tcMar>
          </w:tcPr>
          <w:p w:rsidR="00000000" w:rsidP="00832FDD">
            <w:pPr>
              <w:pStyle w:val="BodyText"/>
              <w:rPr>
                <w:lang w:val="en-NZ"/>
              </w:rPr>
            </w:pPr>
            <w:r w:rsidRPr="00832FDD">
              <w:t xml:space="preserve">Charge and recover refrigerants using </w:t>
            </w:r>
            <w:r w:rsidRPr="00832FDD">
              <w:t>prescribed methods and equipment</w:t>
            </w:r>
          </w:p>
        </w:tc>
      </w:tr>
      <w:tr w:rsidTr="00832FD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32FDD">
            <w:pPr>
              <w:pStyle w:val="BodyText"/>
              <w:rPr>
                <w:lang w:val="en-NZ"/>
              </w:rPr>
            </w:pPr>
            <w:r w:rsidRPr="00832FDD">
              <w:t>5.7</w:t>
            </w:r>
          </w:p>
        </w:tc>
        <w:tc>
          <w:tcPr>
            <w:tcW w:w="5641" w:type="dxa"/>
            <w:tcBorders>
              <w:top w:val="nil"/>
              <w:left w:val="nil"/>
              <w:bottom w:val="nil"/>
              <w:right w:val="nil"/>
            </w:tcBorders>
            <w:tcMar>
              <w:top w:w="0" w:type="dxa"/>
              <w:left w:w="62" w:type="dxa"/>
              <w:bottom w:w="0" w:type="dxa"/>
              <w:right w:w="62" w:type="dxa"/>
            </w:tcMar>
          </w:tcPr>
          <w:p w:rsidR="00000000" w:rsidRPr="00832FDD" w:rsidP="00832FDD">
            <w:pPr>
              <w:pStyle w:val="BodyText"/>
            </w:pPr>
            <w:r w:rsidRPr="00832FDD">
              <w:t>Ensure work on piping, valves and gauges is consistent with regulations, codes and standards</w:t>
            </w:r>
          </w:p>
        </w:tc>
      </w:tr>
    </w:tbl>
    <w:p w:rsidR="00000000" w:rsidRPr="00832FDD" w:rsidP="00832FDD">
      <w:pPr>
        <w:pStyle w:val="BodyText"/>
      </w:pPr>
    </w:p>
    <w:p w:rsidR="00000000" w:rsidRPr="00832FDD" w:rsidP="00832FDD">
      <w:pPr>
        <w:pStyle w:val="AllowPageBreak"/>
      </w:pPr>
    </w:p>
    <w:p w:rsidR="00000000" w:rsidRPr="00832FDD" w:rsidP="00832FDD">
      <w:pPr>
        <w:pStyle w:val="Heading1"/>
      </w:pPr>
      <w:bookmarkStart w:id="6" w:name="O_941620"/>
      <w:bookmarkEnd w:id="6"/>
      <w:r w:rsidRPr="00832FDD">
        <w:t>Foundation Skills</w:t>
      </w:r>
    </w:p>
    <w:p w:rsidR="00000000" w:rsidRPr="00832FDD" w:rsidP="000035B5">
      <w:pPr>
        <w:pStyle w:val="BodyText"/>
      </w:pPr>
      <w:r w:rsidRPr="00832FDD">
        <w:t xml:space="preserve">This section describes those required skills (reading, writing, oral communication and numeracy) that are essential to workplace performance in this unit of competency.  </w:t>
      </w:r>
    </w:p>
    <w:p w:rsidR="00000000" w:rsidRPr="00832FDD" w:rsidP="000035B5">
      <w:pPr>
        <w:pStyle w:val="BodyText"/>
      </w:pPr>
      <w:r w:rsidRPr="00832FDD">
        <w:t xml:space="preserve">Foundation skills essential to performance are explicit in the performance criteria </w:t>
      </w:r>
      <w:r w:rsidRPr="00832FDD">
        <w:t>of this unit of competency.</w:t>
      </w:r>
    </w:p>
    <w:p w:rsidR="00000000" w:rsidRPr="00832FDD" w:rsidP="00832FDD">
      <w:pPr>
        <w:pStyle w:val="Heading1"/>
      </w:pPr>
      <w:bookmarkStart w:id="7" w:name="O_941619"/>
      <w:bookmarkEnd w:id="7"/>
      <w:r w:rsidRPr="00832FDD">
        <w:t>Range of Conditions</w:t>
      </w:r>
    </w:p>
    <w:tbl>
      <w:tblPr>
        <w:tblW w:w="0" w:type="auto"/>
        <w:tblLayout w:type="fixed"/>
        <w:tblCellMar>
          <w:left w:w="62" w:type="dxa"/>
          <w:right w:w="62" w:type="dxa"/>
        </w:tblCellMar>
        <w:tblLook w:val="0000"/>
      </w:tblPr>
      <w:tblGrid>
        <w:gridCol w:w="2765"/>
        <w:gridCol w:w="6415"/>
      </w:tblGrid>
      <w:tr w:rsidTr="00832FDD">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832FDD">
            <w:pPr>
              <w:pStyle w:val="BodyText"/>
              <w:rPr>
                <w:lang w:val="en-NZ"/>
              </w:rPr>
            </w:pPr>
            <w:r w:rsidRPr="00832FDD">
              <w:t>This field allows for different work environments and conditions that may affect performance. Essential operating conditions that may be present (depending on the work situation, needs of the</w:t>
            </w:r>
            <w:r w:rsidRPr="00832FDD">
              <w:t xml:space="preserve"> candidate, accessibility of the item, and local industry and regional contexts) are included.</w:t>
            </w:r>
          </w:p>
        </w:tc>
      </w:tr>
      <w:tr w:rsidTr="00832FDD">
        <w:tblPrEx>
          <w:tblW w:w="0" w:type="auto"/>
          <w:tblLayout w:type="fixed"/>
          <w:tblCellMar>
            <w:left w:w="62" w:type="dxa"/>
            <w:right w:w="62" w:type="dxa"/>
          </w:tblCellMar>
          <w:tblLook w:val="0000"/>
        </w:tblPrEx>
        <w:trPr>
          <w:trHeight w:val="1029"/>
        </w:trPr>
        <w:tc>
          <w:tcPr>
            <w:tcW w:w="2765" w:type="dxa"/>
            <w:tcBorders>
              <w:top w:val="nil"/>
              <w:left w:val="nil"/>
              <w:bottom w:val="nil"/>
              <w:right w:val="nil"/>
            </w:tcBorders>
            <w:tcMar>
              <w:top w:w="0" w:type="dxa"/>
              <w:left w:w="62" w:type="dxa"/>
              <w:bottom w:w="0" w:type="dxa"/>
              <w:right w:w="62" w:type="dxa"/>
            </w:tcMar>
          </w:tcPr>
          <w:p w:rsidR="00000000" w:rsidP="00832FDD">
            <w:pPr>
              <w:pStyle w:val="BodyText"/>
              <w:rPr>
                <w:lang w:val="en-NZ"/>
              </w:rPr>
            </w:pPr>
            <w:r w:rsidRPr="00832FDD">
              <w:rPr>
                <w:rStyle w:val="SpecialBold"/>
              </w:rPr>
              <w:t>Handle refrigerant includes the following:</w:t>
            </w:r>
          </w:p>
        </w:tc>
        <w:tc>
          <w:tcPr>
            <w:tcW w:w="6415" w:type="dxa"/>
            <w:tcBorders>
              <w:top w:val="nil"/>
              <w:left w:val="nil"/>
              <w:bottom w:val="nil"/>
              <w:right w:val="nil"/>
            </w:tcBorders>
            <w:tcMar>
              <w:top w:w="0" w:type="dxa"/>
              <w:left w:w="62" w:type="dxa"/>
              <w:bottom w:w="0" w:type="dxa"/>
              <w:right w:w="62" w:type="dxa"/>
            </w:tcMar>
          </w:tcPr>
          <w:p w:rsidR="00000000" w:rsidP="00832FDD">
            <w:pPr>
              <w:pStyle w:val="ListBullet"/>
              <w:rPr>
                <w:lang w:val="en-NZ"/>
              </w:rPr>
            </w:pPr>
            <w:r w:rsidRPr="00832FDD">
              <w:t xml:space="preserve">any actions with an ARC prescribed refrigerant, or a component of refrigeration and </w:t>
            </w:r>
            <w:r w:rsidRPr="00832FDD">
              <w:t>air conditioning equipment, that carries the risk of its emission</w:t>
            </w:r>
          </w:p>
        </w:tc>
      </w:tr>
      <w:tr w:rsidTr="00832FDD">
        <w:tblPrEx>
          <w:tblW w:w="0" w:type="auto"/>
          <w:tblLayout w:type="fixed"/>
          <w:tblCellMar>
            <w:left w:w="62" w:type="dxa"/>
            <w:right w:w="62" w:type="dxa"/>
          </w:tblCellMar>
          <w:tblLook w:val="0000"/>
        </w:tblPrEx>
        <w:trPr>
          <w:trHeight w:val="1307"/>
        </w:trPr>
        <w:tc>
          <w:tcPr>
            <w:tcW w:w="2765" w:type="dxa"/>
            <w:tcBorders>
              <w:top w:val="nil"/>
              <w:left w:val="nil"/>
              <w:bottom w:val="nil"/>
              <w:right w:val="nil"/>
            </w:tcBorders>
            <w:tcMar>
              <w:top w:w="0" w:type="dxa"/>
              <w:left w:w="62" w:type="dxa"/>
              <w:bottom w:w="0" w:type="dxa"/>
              <w:right w:w="62" w:type="dxa"/>
            </w:tcMar>
          </w:tcPr>
          <w:p w:rsidR="00000000" w:rsidP="00832FDD">
            <w:pPr>
              <w:pStyle w:val="BodyText"/>
              <w:rPr>
                <w:lang w:val="en-NZ"/>
              </w:rPr>
            </w:pPr>
            <w:r w:rsidRPr="00832FDD">
              <w:rPr>
                <w:rStyle w:val="SpecialBold"/>
              </w:rPr>
              <w:t>Prescribed methods and equipment include the following:</w:t>
            </w:r>
          </w:p>
        </w:tc>
        <w:tc>
          <w:tcPr>
            <w:tcW w:w="6415" w:type="dxa"/>
            <w:tcBorders>
              <w:top w:val="nil"/>
              <w:left w:val="nil"/>
              <w:bottom w:val="nil"/>
              <w:right w:val="nil"/>
            </w:tcBorders>
            <w:tcMar>
              <w:top w:w="0" w:type="dxa"/>
              <w:left w:w="62" w:type="dxa"/>
              <w:bottom w:w="0" w:type="dxa"/>
              <w:right w:w="62" w:type="dxa"/>
            </w:tcMar>
          </w:tcPr>
          <w:p w:rsidR="00000000" w:rsidRPr="00832FDD" w:rsidP="00832FDD">
            <w:pPr>
              <w:pStyle w:val="ListBullet"/>
            </w:pPr>
            <w:r w:rsidRPr="00832FDD">
              <w:t>methods and equipment as described in ARC codes and regulations or referenced by the ARC</w:t>
            </w:r>
          </w:p>
          <w:p w:rsidR="00000000" w:rsidP="00832FDD">
            <w:pPr>
              <w:pStyle w:val="ListBullet"/>
              <w:rPr>
                <w:lang w:val="en-NZ"/>
              </w:rPr>
            </w:pPr>
            <w:r w:rsidRPr="00832FDD">
              <w:t>manufacturer’s instructions where available</w:t>
            </w:r>
            <w:r w:rsidRPr="00832FDD">
              <w:t xml:space="preserve"> except where the instructions would lead to emission of refrigerant</w:t>
            </w:r>
          </w:p>
        </w:tc>
      </w:tr>
      <w:tr w:rsidTr="00832FDD">
        <w:tblPrEx>
          <w:tblW w:w="0" w:type="auto"/>
          <w:tblLayout w:type="fixed"/>
          <w:tblCellMar>
            <w:left w:w="62" w:type="dxa"/>
            <w:right w:w="62" w:type="dxa"/>
          </w:tblCellMar>
          <w:tblLook w:val="0000"/>
        </w:tblPrEx>
        <w:trPr>
          <w:trHeight w:val="780"/>
        </w:trPr>
        <w:tc>
          <w:tcPr>
            <w:tcW w:w="2765" w:type="dxa"/>
            <w:tcBorders>
              <w:top w:val="nil"/>
              <w:left w:val="nil"/>
              <w:bottom w:val="nil"/>
              <w:right w:val="nil"/>
            </w:tcBorders>
            <w:tcMar>
              <w:top w:w="0" w:type="dxa"/>
              <w:left w:w="62" w:type="dxa"/>
              <w:bottom w:w="0" w:type="dxa"/>
              <w:right w:w="62" w:type="dxa"/>
            </w:tcMar>
          </w:tcPr>
          <w:p w:rsidR="00000000" w:rsidP="00832FDD">
            <w:pPr>
              <w:pStyle w:val="BodyText"/>
              <w:rPr>
                <w:lang w:val="en-NZ"/>
              </w:rPr>
            </w:pPr>
            <w:r w:rsidRPr="00832FDD">
              <w:rPr>
                <w:rStyle w:val="SpecialBold"/>
              </w:rPr>
              <w:t>Refrigerant handling equipment includes the following:</w:t>
            </w:r>
          </w:p>
        </w:tc>
        <w:tc>
          <w:tcPr>
            <w:tcW w:w="6415" w:type="dxa"/>
            <w:tcBorders>
              <w:top w:val="nil"/>
              <w:left w:val="nil"/>
              <w:bottom w:val="nil"/>
              <w:right w:val="nil"/>
            </w:tcBorders>
            <w:tcMar>
              <w:top w:w="0" w:type="dxa"/>
              <w:left w:w="62" w:type="dxa"/>
              <w:bottom w:w="0" w:type="dxa"/>
              <w:right w:w="62" w:type="dxa"/>
            </w:tcMar>
          </w:tcPr>
          <w:p w:rsidR="00000000" w:rsidP="00832FDD">
            <w:pPr>
              <w:pStyle w:val="ListBullet"/>
              <w:rPr>
                <w:lang w:val="en-NZ"/>
              </w:rPr>
            </w:pPr>
            <w:r w:rsidRPr="00832FDD">
              <w:t>cylinders</w:t>
            </w:r>
          </w:p>
        </w:tc>
      </w:tr>
      <w:tr w:rsidTr="00832FDD">
        <w:tblPrEx>
          <w:tblW w:w="0" w:type="auto"/>
          <w:tblLayout w:type="fixed"/>
          <w:tblCellMar>
            <w:left w:w="62" w:type="dxa"/>
            <w:right w:w="62" w:type="dxa"/>
          </w:tblCellMar>
          <w:tblLook w:val="0000"/>
        </w:tblPrEx>
        <w:trPr>
          <w:trHeight w:val="1718"/>
        </w:trPr>
        <w:tc>
          <w:tcPr>
            <w:tcW w:w="2765" w:type="dxa"/>
            <w:tcBorders>
              <w:top w:val="nil"/>
              <w:left w:val="nil"/>
              <w:bottom w:val="nil"/>
              <w:right w:val="nil"/>
            </w:tcBorders>
            <w:tcMar>
              <w:top w:w="0" w:type="dxa"/>
              <w:left w:w="62" w:type="dxa"/>
              <w:bottom w:w="0" w:type="dxa"/>
              <w:right w:w="62" w:type="dxa"/>
            </w:tcMar>
          </w:tcPr>
          <w:p w:rsidR="00000000" w:rsidP="00832FDD">
            <w:pPr>
              <w:pStyle w:val="BodyText"/>
              <w:rPr>
                <w:lang w:val="en-NZ"/>
              </w:rPr>
            </w:pPr>
            <w:r w:rsidRPr="00832FDD">
              <w:rPr>
                <w:rStyle w:val="SpecialBold"/>
              </w:rPr>
              <w:t>Contamination includes one or more of the following:</w:t>
            </w:r>
          </w:p>
        </w:tc>
        <w:tc>
          <w:tcPr>
            <w:tcW w:w="6415" w:type="dxa"/>
            <w:tcBorders>
              <w:top w:val="nil"/>
              <w:left w:val="nil"/>
              <w:bottom w:val="nil"/>
              <w:right w:val="nil"/>
            </w:tcBorders>
            <w:tcMar>
              <w:top w:w="0" w:type="dxa"/>
              <w:left w:w="62" w:type="dxa"/>
              <w:bottom w:w="0" w:type="dxa"/>
              <w:right w:w="62" w:type="dxa"/>
            </w:tcMar>
          </w:tcPr>
          <w:p w:rsidR="00000000" w:rsidRPr="00832FDD" w:rsidP="00832FDD">
            <w:pPr>
              <w:pStyle w:val="ListBullet"/>
            </w:pPr>
            <w:r w:rsidRPr="00832FDD">
              <w:t>moisture</w:t>
            </w:r>
          </w:p>
          <w:p w:rsidR="00000000" w:rsidRPr="00832FDD" w:rsidP="00832FDD">
            <w:pPr>
              <w:pStyle w:val="ListBullet"/>
            </w:pPr>
            <w:r w:rsidRPr="00832FDD">
              <w:t>non-condensables</w:t>
            </w:r>
          </w:p>
          <w:p w:rsidR="00000000" w:rsidRPr="00832FDD" w:rsidP="00832FDD">
            <w:pPr>
              <w:pStyle w:val="ListBullet"/>
            </w:pPr>
            <w:r w:rsidRPr="00832FDD">
              <w:t xml:space="preserve">solids and acids </w:t>
            </w:r>
          </w:p>
          <w:p w:rsidR="00000000" w:rsidP="00832FDD">
            <w:pPr>
              <w:pStyle w:val="ListBullet"/>
              <w:rPr>
                <w:lang w:val="en-NZ"/>
              </w:rPr>
            </w:pPr>
            <w:r w:rsidRPr="00832FDD">
              <w:t>refrigerants or mixed refrigerants that are not specified for the refrigeration equipment</w:t>
            </w:r>
          </w:p>
        </w:tc>
      </w:tr>
      <w:tr w:rsidTr="00832FDD">
        <w:tblPrEx>
          <w:tblW w:w="0" w:type="auto"/>
          <w:tblLayout w:type="fixed"/>
          <w:tblCellMar>
            <w:left w:w="62" w:type="dxa"/>
            <w:right w:w="62" w:type="dxa"/>
          </w:tblCellMar>
          <w:tblLook w:val="0000"/>
        </w:tblPrEx>
        <w:trPr>
          <w:trHeight w:val="1492"/>
        </w:trPr>
        <w:tc>
          <w:tcPr>
            <w:tcW w:w="2765" w:type="dxa"/>
            <w:tcBorders>
              <w:top w:val="nil"/>
              <w:left w:val="nil"/>
              <w:bottom w:val="nil"/>
              <w:right w:val="nil"/>
            </w:tcBorders>
            <w:tcMar>
              <w:top w:w="0" w:type="dxa"/>
              <w:left w:w="62" w:type="dxa"/>
              <w:bottom w:w="0" w:type="dxa"/>
              <w:right w:w="62" w:type="dxa"/>
            </w:tcMar>
          </w:tcPr>
          <w:p w:rsidR="00000000" w:rsidP="00832FDD">
            <w:pPr>
              <w:pStyle w:val="BodyText"/>
              <w:rPr>
                <w:lang w:val="en-NZ"/>
              </w:rPr>
            </w:pPr>
            <w:r w:rsidRPr="00832FDD">
              <w:rPr>
                <w:rStyle w:val="SpecialBold"/>
              </w:rPr>
              <w:t xml:space="preserve">Prescribed refrigerant includes the following: </w:t>
            </w:r>
          </w:p>
        </w:tc>
        <w:tc>
          <w:tcPr>
            <w:tcW w:w="6415" w:type="dxa"/>
            <w:tcBorders>
              <w:top w:val="nil"/>
              <w:left w:val="nil"/>
              <w:bottom w:val="nil"/>
              <w:right w:val="nil"/>
            </w:tcBorders>
            <w:tcMar>
              <w:top w:w="0" w:type="dxa"/>
              <w:left w:w="62" w:type="dxa"/>
              <w:bottom w:w="0" w:type="dxa"/>
              <w:right w:w="62" w:type="dxa"/>
            </w:tcMar>
          </w:tcPr>
          <w:p w:rsidR="00000000" w:rsidRPr="00832FDD" w:rsidP="00832FDD">
            <w:pPr>
              <w:pStyle w:val="ListBullet"/>
            </w:pPr>
            <w:r w:rsidRPr="00832FDD">
              <w:t>chlorofluorocarbons (CFCs)</w:t>
            </w:r>
          </w:p>
          <w:p w:rsidR="00000000" w:rsidRPr="00832FDD" w:rsidP="00832FDD">
            <w:pPr>
              <w:pStyle w:val="ListBullet"/>
            </w:pPr>
            <w:r w:rsidRPr="00832FDD">
              <w:t>hydrochlorofluorocarbons (HCFCs)</w:t>
            </w:r>
          </w:p>
          <w:p w:rsidR="00000000" w:rsidRPr="00832FDD" w:rsidP="00832FDD">
            <w:pPr>
              <w:pStyle w:val="ListBullet"/>
            </w:pPr>
            <w:r w:rsidRPr="00832FDD">
              <w:t>hydrofluorocarbons (HFCs)</w:t>
            </w:r>
          </w:p>
          <w:p w:rsidR="00000000" w:rsidP="00832FDD">
            <w:pPr>
              <w:pStyle w:val="ListBullet"/>
              <w:rPr>
                <w:lang w:val="en-NZ"/>
              </w:rPr>
            </w:pPr>
            <w:r w:rsidRPr="00832FDD">
              <w:t>any other refrigerant prescribed by the ARC</w:t>
            </w:r>
          </w:p>
        </w:tc>
      </w:tr>
      <w:tr w:rsidTr="00832FDD">
        <w:tblPrEx>
          <w:tblW w:w="0" w:type="auto"/>
          <w:tblLayout w:type="fixed"/>
          <w:tblCellMar>
            <w:left w:w="62" w:type="dxa"/>
            <w:right w:w="62" w:type="dxa"/>
          </w:tblCellMar>
          <w:tblLook w:val="0000"/>
        </w:tblPrEx>
        <w:trPr>
          <w:trHeight w:val="2462"/>
        </w:trPr>
        <w:tc>
          <w:tcPr>
            <w:tcW w:w="2765" w:type="dxa"/>
            <w:tcBorders>
              <w:top w:val="nil"/>
              <w:left w:val="nil"/>
              <w:bottom w:val="nil"/>
              <w:right w:val="nil"/>
            </w:tcBorders>
            <w:tcMar>
              <w:top w:w="0" w:type="dxa"/>
              <w:left w:w="62" w:type="dxa"/>
              <w:bottom w:w="0" w:type="dxa"/>
              <w:right w:w="62" w:type="dxa"/>
            </w:tcMar>
          </w:tcPr>
          <w:p w:rsidR="00000000" w:rsidP="00832FDD">
            <w:pPr>
              <w:pStyle w:val="BodyText"/>
              <w:rPr>
                <w:lang w:val="en-NZ"/>
              </w:rPr>
            </w:pPr>
            <w:r w:rsidRPr="00832FDD">
              <w:rPr>
                <w:rStyle w:val="SpecialBold"/>
              </w:rPr>
              <w:t>Refrigeration equipment includes one or more of the following:</w:t>
            </w:r>
          </w:p>
        </w:tc>
        <w:tc>
          <w:tcPr>
            <w:tcW w:w="6415" w:type="dxa"/>
            <w:tcBorders>
              <w:top w:val="nil"/>
              <w:left w:val="nil"/>
              <w:bottom w:val="nil"/>
              <w:right w:val="nil"/>
            </w:tcBorders>
            <w:tcMar>
              <w:top w:w="0" w:type="dxa"/>
              <w:left w:w="62" w:type="dxa"/>
              <w:bottom w:w="0" w:type="dxa"/>
              <w:right w:w="62" w:type="dxa"/>
            </w:tcMar>
          </w:tcPr>
          <w:p w:rsidR="00000000" w:rsidRPr="00832FDD" w:rsidP="00832FDD">
            <w:pPr>
              <w:pStyle w:val="ListBullet"/>
            </w:pPr>
            <w:r w:rsidRPr="00832FDD">
              <w:t>compressors</w:t>
            </w:r>
          </w:p>
          <w:p w:rsidR="00000000" w:rsidRPr="00832FDD" w:rsidP="00832FDD">
            <w:pPr>
              <w:pStyle w:val="ListBullet"/>
            </w:pPr>
            <w:r w:rsidRPr="00832FDD">
              <w:t>air/water cooled condensers,</w:t>
            </w:r>
          </w:p>
          <w:p w:rsidR="00000000" w:rsidRPr="00832FDD" w:rsidP="00832FDD">
            <w:pPr>
              <w:pStyle w:val="ListBullet"/>
            </w:pPr>
            <w:r w:rsidRPr="00832FDD">
              <w:t>liquid receivers</w:t>
            </w:r>
          </w:p>
          <w:p w:rsidR="00000000" w:rsidRPr="00832FDD" w:rsidP="00832FDD">
            <w:pPr>
              <w:pStyle w:val="ListBullet"/>
            </w:pPr>
            <w:r w:rsidRPr="00832FDD">
              <w:t>chilled water heat exchangers</w:t>
            </w:r>
          </w:p>
          <w:p w:rsidR="00000000" w:rsidRPr="00832FDD" w:rsidP="00832FDD">
            <w:pPr>
              <w:pStyle w:val="ListBullet"/>
            </w:pPr>
            <w:r w:rsidRPr="00832FDD">
              <w:t xml:space="preserve">evaporators </w:t>
            </w:r>
          </w:p>
          <w:p w:rsidR="00000000" w:rsidRPr="00832FDD" w:rsidP="00832FDD">
            <w:pPr>
              <w:pStyle w:val="ListBullet"/>
            </w:pPr>
            <w:r w:rsidRPr="00832FDD">
              <w:t>air/water cooled condensing units</w:t>
            </w:r>
          </w:p>
          <w:p w:rsidR="00000000" w:rsidP="00832FDD">
            <w:pPr>
              <w:pStyle w:val="ListBullet"/>
              <w:rPr>
                <w:lang w:val="en-NZ"/>
              </w:rPr>
            </w:pPr>
            <w:r w:rsidRPr="00832FDD">
              <w:t>associated p</w:t>
            </w:r>
            <w:r w:rsidRPr="00832FDD">
              <w:t>iping and valves</w:t>
            </w:r>
          </w:p>
        </w:tc>
      </w:tr>
      <w:tr w:rsidTr="00832FDD">
        <w:tblPrEx>
          <w:tblW w:w="0" w:type="auto"/>
          <w:tblLayout w:type="fixed"/>
          <w:tblCellMar>
            <w:left w:w="62" w:type="dxa"/>
            <w:right w:w="62" w:type="dxa"/>
          </w:tblCellMar>
          <w:tblLook w:val="0000"/>
        </w:tblPrEx>
        <w:trPr>
          <w:trHeight w:val="1460"/>
        </w:trPr>
        <w:tc>
          <w:tcPr>
            <w:tcW w:w="2765" w:type="dxa"/>
            <w:tcBorders>
              <w:top w:val="nil"/>
              <w:left w:val="nil"/>
              <w:bottom w:val="nil"/>
              <w:right w:val="nil"/>
            </w:tcBorders>
            <w:tcMar>
              <w:top w:w="0" w:type="dxa"/>
              <w:left w:w="62" w:type="dxa"/>
              <w:bottom w:w="0" w:type="dxa"/>
              <w:right w:w="62" w:type="dxa"/>
            </w:tcMar>
          </w:tcPr>
          <w:p w:rsidR="00000000" w:rsidP="00832FDD">
            <w:pPr>
              <w:pStyle w:val="BodyText"/>
              <w:rPr>
                <w:lang w:val="en-NZ"/>
              </w:rPr>
            </w:pPr>
            <w:r w:rsidRPr="00832FDD">
              <w:rPr>
                <w:rStyle w:val="SpecialBold"/>
              </w:rPr>
              <w:t>Reclaim includes the following:</w:t>
            </w:r>
          </w:p>
        </w:tc>
        <w:tc>
          <w:tcPr>
            <w:tcW w:w="6415" w:type="dxa"/>
            <w:tcBorders>
              <w:top w:val="nil"/>
              <w:left w:val="nil"/>
              <w:bottom w:val="nil"/>
              <w:right w:val="nil"/>
            </w:tcBorders>
            <w:tcMar>
              <w:top w:w="0" w:type="dxa"/>
              <w:left w:w="62" w:type="dxa"/>
              <w:bottom w:w="0" w:type="dxa"/>
              <w:right w:w="62" w:type="dxa"/>
            </w:tcMar>
          </w:tcPr>
          <w:p w:rsidR="00000000" w:rsidP="00832FDD">
            <w:pPr>
              <w:pStyle w:val="ListBullet"/>
              <w:rPr>
                <w:lang w:val="en-NZ"/>
              </w:rPr>
            </w:pPr>
            <w:r w:rsidRPr="00832FDD">
              <w:t xml:space="preserve">to reprocess used refrigerant to a new product specification by means which may include </w:t>
            </w:r>
            <w:r w:rsidRPr="00832FDD">
              <w:t>distillation. This term usually implies the use of processes or procedures available only at a specialised reclaim or manufacturing facility</w:t>
            </w:r>
          </w:p>
        </w:tc>
      </w:tr>
      <w:tr w:rsidTr="00832FDD">
        <w:tblPrEx>
          <w:tblW w:w="0" w:type="auto"/>
          <w:tblLayout w:type="fixed"/>
          <w:tblCellMar>
            <w:left w:w="62" w:type="dxa"/>
            <w:right w:w="62" w:type="dxa"/>
          </w:tblCellMar>
          <w:tblLook w:val="0000"/>
        </w:tblPrEx>
        <w:trPr>
          <w:trHeight w:val="1299"/>
        </w:trPr>
        <w:tc>
          <w:tcPr>
            <w:tcW w:w="2765" w:type="dxa"/>
            <w:tcBorders>
              <w:top w:val="nil"/>
              <w:left w:val="nil"/>
              <w:bottom w:val="nil"/>
              <w:right w:val="nil"/>
            </w:tcBorders>
            <w:tcMar>
              <w:top w:w="0" w:type="dxa"/>
              <w:left w:w="62" w:type="dxa"/>
              <w:bottom w:w="0" w:type="dxa"/>
              <w:right w:w="62" w:type="dxa"/>
            </w:tcMar>
          </w:tcPr>
          <w:p w:rsidR="00000000" w:rsidP="00832FDD">
            <w:pPr>
              <w:pStyle w:val="BodyText"/>
              <w:rPr>
                <w:lang w:val="en-NZ"/>
              </w:rPr>
            </w:pPr>
            <w:r w:rsidRPr="00832FDD">
              <w:rPr>
                <w:rStyle w:val="SpecialBold"/>
              </w:rPr>
              <w:t>Recovery includes the following:</w:t>
            </w:r>
          </w:p>
        </w:tc>
        <w:tc>
          <w:tcPr>
            <w:tcW w:w="6415" w:type="dxa"/>
            <w:tcBorders>
              <w:top w:val="nil"/>
              <w:left w:val="nil"/>
              <w:bottom w:val="nil"/>
              <w:right w:val="nil"/>
            </w:tcBorders>
            <w:tcMar>
              <w:top w:w="0" w:type="dxa"/>
              <w:left w:w="62" w:type="dxa"/>
              <w:bottom w:w="0" w:type="dxa"/>
              <w:right w:w="62" w:type="dxa"/>
            </w:tcMar>
          </w:tcPr>
          <w:p w:rsidR="00000000" w:rsidP="00832FDD">
            <w:pPr>
              <w:pStyle w:val="ListBullet"/>
              <w:rPr>
                <w:lang w:val="en-NZ"/>
              </w:rPr>
            </w:pPr>
            <w:r w:rsidRPr="00832FDD">
              <w:t>removing refrigerant in any condition from a system and storing it in an externa</w:t>
            </w:r>
            <w:r w:rsidRPr="00832FDD">
              <w:t>l cylinder, without necessarily testing or processing it in any way</w:t>
            </w:r>
          </w:p>
        </w:tc>
      </w:tr>
      <w:tr w:rsidTr="00832FDD">
        <w:tblPrEx>
          <w:tblW w:w="0" w:type="auto"/>
          <w:tblLayout w:type="fixed"/>
          <w:tblCellMar>
            <w:left w:w="62" w:type="dxa"/>
            <w:right w:w="62" w:type="dxa"/>
          </w:tblCellMar>
          <w:tblLook w:val="0000"/>
        </w:tblPrEx>
        <w:trPr>
          <w:trHeight w:val="1299"/>
        </w:trPr>
        <w:tc>
          <w:tcPr>
            <w:tcW w:w="2765" w:type="dxa"/>
            <w:tcBorders>
              <w:top w:val="nil"/>
              <w:left w:val="nil"/>
              <w:bottom w:val="nil"/>
              <w:right w:val="nil"/>
            </w:tcBorders>
            <w:tcMar>
              <w:top w:w="0" w:type="dxa"/>
              <w:left w:w="62" w:type="dxa"/>
              <w:bottom w:w="0" w:type="dxa"/>
              <w:right w:w="62" w:type="dxa"/>
            </w:tcMar>
          </w:tcPr>
          <w:p w:rsidR="00000000" w:rsidP="00832FDD">
            <w:pPr>
              <w:pStyle w:val="BodyText"/>
              <w:rPr>
                <w:lang w:val="en-NZ"/>
              </w:rPr>
            </w:pPr>
            <w:r w:rsidRPr="00832FDD">
              <w:rPr>
                <w:rStyle w:val="SpecialBold"/>
              </w:rPr>
              <w:t>Self-contained low charge systems include the following:</w:t>
            </w:r>
          </w:p>
        </w:tc>
        <w:tc>
          <w:tcPr>
            <w:tcW w:w="6415" w:type="dxa"/>
            <w:tcBorders>
              <w:top w:val="nil"/>
              <w:left w:val="nil"/>
              <w:bottom w:val="nil"/>
              <w:right w:val="nil"/>
            </w:tcBorders>
            <w:tcMar>
              <w:top w:w="0" w:type="dxa"/>
              <w:left w:w="62" w:type="dxa"/>
              <w:bottom w:w="0" w:type="dxa"/>
              <w:right w:w="62" w:type="dxa"/>
            </w:tcMar>
          </w:tcPr>
          <w:p w:rsidR="00000000" w:rsidRPr="00832FDD" w:rsidP="00832FDD">
            <w:pPr>
              <w:pStyle w:val="ListBullet"/>
            </w:pPr>
            <w:r w:rsidRPr="00832FDD">
              <w:t xml:space="preserve">appliances which contain a fluorocarbon refrigerant charge of two kilograms or less, </w:t>
            </w:r>
            <w:r w:rsidRPr="00832FDD">
              <w:t>and do not require any work to be done on the refrigeration system at the time of installation</w:t>
            </w:r>
          </w:p>
        </w:tc>
      </w:tr>
    </w:tbl>
    <w:p w:rsidR="00000000" w:rsidRPr="00832FDD" w:rsidP="00832FDD">
      <w:pPr>
        <w:pStyle w:val="BodyText"/>
      </w:pPr>
    </w:p>
    <w:p w:rsidR="00000000" w:rsidRPr="00832FDD" w:rsidP="00832FDD">
      <w:pPr>
        <w:pStyle w:val="AllowPageBreak"/>
      </w:pPr>
    </w:p>
    <w:p w:rsidR="00000000" w:rsidRPr="00832FDD" w:rsidP="00832FDD">
      <w:pPr>
        <w:pStyle w:val="Heading1"/>
      </w:pPr>
      <w:bookmarkStart w:id="8" w:name="O_941618"/>
      <w:bookmarkEnd w:id="8"/>
      <w:r w:rsidRPr="00832FDD">
        <w:t>Unit Mapping Information</w:t>
      </w:r>
    </w:p>
    <w:p w:rsidR="00000000" w:rsidRPr="00832FDD" w:rsidP="000035B5">
      <w:pPr>
        <w:pStyle w:val="BodyText"/>
      </w:pPr>
      <w:r w:rsidRPr="00832FDD">
        <w:t>No equivalent unit.</w:t>
      </w:r>
    </w:p>
    <w:p w:rsidR="00000000" w:rsidRPr="00832FDD" w:rsidP="00832FDD">
      <w:pPr>
        <w:pStyle w:val="Heading1"/>
      </w:pPr>
      <w:bookmarkStart w:id="9" w:name="O_941611"/>
      <w:bookmarkEnd w:id="9"/>
      <w:r w:rsidRPr="00832FDD">
        <w:t>Links</w:t>
      </w:r>
    </w:p>
    <w:p w:rsidR="00000000" w:rsidRPr="00832FDD" w:rsidP="000035B5">
      <w:pPr>
        <w:pStyle w:val="BodyText"/>
      </w:pPr>
      <w:r w:rsidRPr="00832FDD">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752862">
        <w:rPr>
          <w:rStyle w:val="Hyperlink"/>
        </w:rPr>
        <w:t>https://vetnet.gov.au/Pages/TrainingDocs.aspx?q=b7050d37-5fd0-4740-8f7d-3b7a49c10bb2</w:t>
      </w:r>
      <w:r>
        <w:fldChar w:fldCharType="end"/>
      </w:r>
    </w:p>
    <w:p w:rsidR="00000000" w:rsidRPr="00832FDD" w:rsidP="00832FDD"/>
    <w:sectPr w:rsidSect="00832FD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F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FDD" w:rsidRPr="000035B5" w:rsidP="000035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F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5B5" w:rsidP="00832F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035B5" w:rsidP="00832FD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035B5" w:rsidP="00832F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F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5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2FDD" w:rsidRPr="000035B5" w:rsidP="000035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F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5B5" w:rsidRPr="002D2AF8" w:rsidP="00832FDD">
    <w:pPr>
      <w:pStyle w:val="Header"/>
      <w:framePr w:wrap="around"/>
    </w:pPr>
    <w:r>
      <w:fldChar w:fldCharType="begin"/>
    </w:r>
    <w:r>
      <w:instrText xml:space="preserve"> TITLE   \* MERGEFORMAT </w:instrText>
    </w:r>
    <w:r>
      <w:fldChar w:fldCharType="separate"/>
    </w:r>
    <w:r>
      <w:t>MEM18083 Handle fluorocarbon refrigerants according to regulations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0035B5" w:rsidP="00832F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75EE8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C220F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2F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2FDD"/>
    <w:pPr>
      <w:spacing w:before="360" w:after="60"/>
      <w:outlineLvl w:val="0"/>
    </w:pPr>
    <w:rPr>
      <w:sz w:val="32"/>
    </w:rPr>
  </w:style>
  <w:style w:type="paragraph" w:styleId="Heading2">
    <w:name w:val="heading 2"/>
    <w:basedOn w:val="HeadingBase"/>
    <w:next w:val="BodyText"/>
    <w:link w:val="Heading2Char"/>
    <w:qFormat/>
    <w:rsid w:val="00832FDD"/>
    <w:pPr>
      <w:keepLines/>
      <w:spacing w:before="240" w:after="120"/>
      <w:outlineLvl w:val="1"/>
    </w:pPr>
    <w:rPr>
      <w:sz w:val="28"/>
      <w:szCs w:val="40"/>
    </w:rPr>
  </w:style>
  <w:style w:type="paragraph" w:styleId="Heading3">
    <w:name w:val="heading 3"/>
    <w:basedOn w:val="HeadingBase"/>
    <w:next w:val="BodyText"/>
    <w:link w:val="Heading3Char"/>
    <w:qFormat/>
    <w:rsid w:val="00832FDD"/>
    <w:pPr>
      <w:spacing w:before="180" w:after="120"/>
      <w:outlineLvl w:val="2"/>
    </w:pPr>
    <w:rPr>
      <w:spacing w:val="-10"/>
      <w:kern w:val="32"/>
    </w:rPr>
  </w:style>
  <w:style w:type="paragraph" w:styleId="Heading4">
    <w:name w:val="heading 4"/>
    <w:basedOn w:val="HeadingBase"/>
    <w:next w:val="BodyText"/>
    <w:link w:val="Heading4Char"/>
    <w:qFormat/>
    <w:rsid w:val="00832FDD"/>
    <w:pPr>
      <w:spacing w:before="160" w:after="120"/>
      <w:outlineLvl w:val="3"/>
    </w:pPr>
    <w:rPr>
      <w:sz w:val="22"/>
    </w:rPr>
  </w:style>
  <w:style w:type="paragraph" w:styleId="Heading5">
    <w:name w:val="heading 5"/>
    <w:basedOn w:val="HeadingBase"/>
    <w:next w:val="Normal"/>
    <w:link w:val="Heading5Char"/>
    <w:qFormat/>
    <w:rsid w:val="00832FDD"/>
    <w:pPr>
      <w:spacing w:before="80"/>
      <w:outlineLvl w:val="4"/>
    </w:pPr>
    <w:rPr>
      <w:color w:val="918585"/>
      <w:sz w:val="20"/>
    </w:rPr>
  </w:style>
  <w:style w:type="paragraph" w:styleId="Heading6">
    <w:name w:val="heading 6"/>
    <w:basedOn w:val="HeadingBase"/>
    <w:next w:val="Normal"/>
    <w:link w:val="Heading6Char"/>
    <w:qFormat/>
    <w:rsid w:val="00832FDD"/>
    <w:pPr>
      <w:spacing w:before="60"/>
      <w:outlineLvl w:val="5"/>
    </w:pPr>
    <w:rPr>
      <w:color w:val="918585"/>
      <w:sz w:val="20"/>
    </w:rPr>
  </w:style>
  <w:style w:type="paragraph" w:styleId="Heading7">
    <w:name w:val="heading 7"/>
    <w:basedOn w:val="Normal"/>
    <w:next w:val="Normal"/>
    <w:link w:val="Heading7Char"/>
    <w:qFormat/>
    <w:rsid w:val="00832FDD"/>
    <w:pPr>
      <w:ind w:left="720"/>
      <w:outlineLvl w:val="6"/>
    </w:pPr>
    <w:rPr>
      <w:i/>
    </w:rPr>
  </w:style>
  <w:style w:type="paragraph" w:styleId="Heading8">
    <w:name w:val="heading 8"/>
    <w:basedOn w:val="Normal"/>
    <w:next w:val="Normal"/>
    <w:link w:val="Heading8Char"/>
    <w:qFormat/>
    <w:rsid w:val="00832FDD"/>
    <w:pPr>
      <w:ind w:left="720"/>
      <w:outlineLvl w:val="7"/>
    </w:pPr>
    <w:rPr>
      <w:i/>
    </w:rPr>
  </w:style>
  <w:style w:type="paragraph" w:styleId="Heading9">
    <w:name w:val="heading 9"/>
    <w:basedOn w:val="Normal"/>
    <w:next w:val="Normal"/>
    <w:link w:val="Heading9Char"/>
    <w:qFormat/>
    <w:rsid w:val="00832FDD"/>
    <w:pPr>
      <w:ind w:left="720"/>
      <w:outlineLvl w:val="8"/>
    </w:pPr>
    <w:rPr>
      <w:i/>
    </w:rPr>
  </w:style>
  <w:style w:type="character" w:default="1" w:styleId="DefaultParagraphFont">
    <w:name w:val="Default Paragraph Font"/>
    <w:uiPriority w:val="1"/>
    <w:unhideWhenUsed/>
    <w:rsid w:val="00832F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2FDD"/>
  </w:style>
  <w:style w:type="character" w:customStyle="1" w:styleId="Heading1Char">
    <w:name w:val="Heading 1 Char"/>
    <w:basedOn w:val="DefaultParagraphFont"/>
    <w:link w:val="Heading1"/>
    <w:rsid w:val="00832FDD"/>
    <w:rPr>
      <w:rFonts w:ascii="Times New Roman" w:eastAsia="Times New Roman" w:hAnsi="Times New Roman" w:cs="Times New Roman"/>
      <w:b/>
      <w:sz w:val="32"/>
      <w:szCs w:val="20"/>
      <w:lang w:eastAsia="en-US"/>
    </w:rPr>
  </w:style>
  <w:style w:type="paragraph" w:styleId="BodyText">
    <w:name w:val="Body Text"/>
    <w:basedOn w:val="Normal"/>
    <w:link w:val="BodyTextChar"/>
    <w:rsid w:val="00832F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2FDD"/>
    <w:rPr>
      <w:rFonts w:ascii="Times New Roman" w:eastAsia="Times New Roman" w:hAnsi="Times New Roman" w:cs="Times New Roman"/>
      <w:sz w:val="24"/>
      <w:lang w:eastAsia="en-US"/>
    </w:rPr>
  </w:style>
  <w:style w:type="paragraph" w:styleId="ListBullet">
    <w:name w:val="List Bullet"/>
    <w:basedOn w:val="List"/>
    <w:rsid w:val="00832FDD"/>
    <w:pPr>
      <w:numPr>
        <w:numId w:val="11"/>
      </w:numPr>
      <w:tabs>
        <w:tab w:val="clear" w:pos="340"/>
      </w:tabs>
      <w:spacing w:before="40" w:after="40"/>
    </w:pPr>
  </w:style>
  <w:style w:type="character" w:customStyle="1" w:styleId="SpecialBold">
    <w:name w:val="Special Bold"/>
    <w:basedOn w:val="DefaultParagraphFont"/>
    <w:rsid w:val="00832FDD"/>
    <w:rPr>
      <w:b/>
      <w:spacing w:val="0"/>
    </w:rPr>
  </w:style>
  <w:style w:type="paragraph" w:customStyle="1" w:styleId="SuperHeading">
    <w:name w:val="SuperHeading"/>
    <w:basedOn w:val="Normal"/>
    <w:rsid w:val="00832FDD"/>
    <w:pPr>
      <w:spacing w:before="240" w:after="120"/>
      <w:outlineLvl w:val="0"/>
    </w:pPr>
    <w:rPr>
      <w:rFonts w:ascii="Times New Roman" w:hAnsi="Times New Roman"/>
      <w:b/>
      <w:sz w:val="32"/>
    </w:rPr>
  </w:style>
  <w:style w:type="paragraph" w:customStyle="1" w:styleId="AllowPageBreak">
    <w:name w:val="AllowPageBreak"/>
    <w:rsid w:val="00832F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2F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2F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2F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2F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2F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2F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2F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2FDD"/>
    <w:rPr>
      <w:rFonts w:ascii="Courier New" w:eastAsia="Times New Roman" w:hAnsi="Courier New" w:cs="Times New Roman"/>
      <w:i/>
      <w:szCs w:val="20"/>
      <w:lang w:eastAsia="en-US"/>
    </w:rPr>
  </w:style>
  <w:style w:type="paragraph" w:customStyle="1" w:styleId="HeadingBase">
    <w:name w:val="Heading Base"/>
    <w:rsid w:val="00832F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2FDD"/>
    <w:pPr>
      <w:tabs>
        <w:tab w:val="right" w:leader="dot" w:pos="9072"/>
      </w:tabs>
      <w:ind w:left="567"/>
    </w:pPr>
    <w:rPr>
      <w:szCs w:val="22"/>
    </w:rPr>
  </w:style>
  <w:style w:type="paragraph" w:customStyle="1" w:styleId="TOCBase">
    <w:name w:val="TOC Base"/>
    <w:rsid w:val="00832F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2FDD"/>
    <w:pPr>
      <w:tabs>
        <w:tab w:val="right" w:leader="dot" w:pos="9072"/>
      </w:tabs>
      <w:spacing w:before="40" w:after="40"/>
      <w:ind w:left="284"/>
    </w:pPr>
    <w:rPr>
      <w:rFonts w:ascii="Times New Roman" w:hAnsi="Times New Roman"/>
    </w:rPr>
  </w:style>
  <w:style w:type="paragraph" w:styleId="TOC1">
    <w:name w:val="toc 1"/>
    <w:basedOn w:val="TOCBase"/>
    <w:next w:val="Normal"/>
    <w:rsid w:val="00832F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2F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2FDD"/>
    <w:rPr>
      <w:rFonts w:ascii="Times New Roman" w:eastAsia="Times New Roman" w:hAnsi="Times New Roman" w:cs="Times New Roman"/>
      <w:sz w:val="16"/>
      <w:lang w:eastAsia="en-US"/>
    </w:rPr>
  </w:style>
  <w:style w:type="paragraph" w:styleId="Title">
    <w:name w:val="Title"/>
    <w:basedOn w:val="HeadingBase"/>
    <w:link w:val="TitleChar"/>
    <w:qFormat/>
    <w:rsid w:val="00832FDD"/>
    <w:pPr>
      <w:spacing w:before="5040"/>
      <w:jc w:val="center"/>
    </w:pPr>
    <w:rPr>
      <w:sz w:val="48"/>
      <w:szCs w:val="72"/>
      <w:lang w:val="en-US"/>
    </w:rPr>
  </w:style>
  <w:style w:type="character" w:customStyle="1" w:styleId="TitleChar">
    <w:name w:val="Title Char"/>
    <w:basedOn w:val="DefaultParagraphFont"/>
    <w:link w:val="Title"/>
    <w:rsid w:val="00832F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2FDD"/>
    <w:pPr>
      <w:tabs>
        <w:tab w:val="left" w:pos="3600"/>
        <w:tab w:val="left" w:pos="3958"/>
      </w:tabs>
    </w:pPr>
  </w:style>
  <w:style w:type="paragraph" w:styleId="List">
    <w:name w:val="List"/>
    <w:basedOn w:val="BodyText"/>
    <w:next w:val="BodyText"/>
    <w:rsid w:val="00832FDD"/>
    <w:pPr>
      <w:tabs>
        <w:tab w:val="left" w:pos="340"/>
      </w:tabs>
      <w:spacing w:before="60" w:after="60"/>
      <w:ind w:left="340" w:hanging="340"/>
    </w:pPr>
  </w:style>
  <w:style w:type="paragraph" w:customStyle="1" w:styleId="Note">
    <w:name w:val="Note"/>
    <w:basedOn w:val="BodyText"/>
    <w:rsid w:val="00832F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2FDD"/>
    <w:pPr>
      <w:framePr w:wrap="auto" w:hAnchor="text" w:y="6049"/>
    </w:pPr>
    <w:rPr>
      <w:color w:val="000000"/>
      <w:sz w:val="40"/>
    </w:rPr>
  </w:style>
  <w:style w:type="paragraph" w:customStyle="1" w:styleId="TOCTitle">
    <w:name w:val="TOCTitle"/>
    <w:basedOn w:val="Heading1"/>
    <w:rsid w:val="00832FDD"/>
    <w:pPr>
      <w:spacing w:after="240"/>
      <w:jc w:val="center"/>
      <w:outlineLvl w:val="9"/>
    </w:pPr>
    <w:rPr>
      <w:caps/>
    </w:rPr>
  </w:style>
  <w:style w:type="paragraph" w:customStyle="1" w:styleId="Version">
    <w:name w:val="Version"/>
    <w:rsid w:val="00832FD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32FDD"/>
    <w:pPr>
      <w:numPr>
        <w:numId w:val="12"/>
      </w:numPr>
      <w:tabs>
        <w:tab w:val="clear" w:pos="680"/>
      </w:tabs>
    </w:pPr>
  </w:style>
  <w:style w:type="paragraph" w:styleId="Index1">
    <w:name w:val="index 1"/>
    <w:basedOn w:val="Normal"/>
    <w:next w:val="Normal"/>
    <w:semiHidden/>
    <w:rsid w:val="00832FDD"/>
    <w:pPr>
      <w:keepNext w:val="0"/>
      <w:tabs>
        <w:tab w:val="right" w:pos="4176"/>
      </w:tabs>
      <w:ind w:left="198" w:hanging="198"/>
    </w:pPr>
    <w:rPr>
      <w:rFonts w:ascii="Garamond" w:hAnsi="Garamond"/>
    </w:rPr>
  </w:style>
  <w:style w:type="paragraph" w:styleId="IndexHeading">
    <w:name w:val="index heading"/>
    <w:basedOn w:val="Normal"/>
    <w:next w:val="Index1"/>
    <w:semiHidden/>
    <w:rsid w:val="00832FDD"/>
    <w:pPr>
      <w:spacing w:before="120" w:after="120"/>
    </w:pPr>
    <w:rPr>
      <w:rFonts w:ascii="Arial" w:hAnsi="Arial"/>
      <w:b/>
      <w:color w:val="918585"/>
      <w:sz w:val="24"/>
    </w:rPr>
  </w:style>
  <w:style w:type="paragraph" w:styleId="Header">
    <w:name w:val="header"/>
    <w:basedOn w:val="Normal"/>
    <w:link w:val="HeaderChar"/>
    <w:rsid w:val="00832F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2FDD"/>
    <w:rPr>
      <w:rFonts w:ascii="Times New Roman" w:eastAsia="Times New Roman" w:hAnsi="Times New Roman" w:cs="Times New Roman"/>
      <w:sz w:val="16"/>
      <w:szCs w:val="20"/>
      <w:lang w:val="en-GB" w:eastAsia="en-US"/>
    </w:rPr>
  </w:style>
  <w:style w:type="paragraph" w:customStyle="1" w:styleId="Chapter">
    <w:name w:val="Chapter"/>
    <w:basedOn w:val="Normal"/>
    <w:rsid w:val="00832FDD"/>
    <w:pPr>
      <w:spacing w:before="240"/>
    </w:pPr>
    <w:rPr>
      <w:rFonts w:ascii="Times New Roman" w:hAnsi="Times New Roman"/>
      <w:smallCaps/>
      <w:spacing w:val="80"/>
      <w:sz w:val="28"/>
    </w:rPr>
  </w:style>
  <w:style w:type="paragraph" w:customStyle="1" w:styleId="InChapter">
    <w:name w:val="InChapter"/>
    <w:basedOn w:val="Heading3"/>
    <w:rsid w:val="00832FDD"/>
    <w:pPr>
      <w:spacing w:after="240"/>
      <w:outlineLvl w:val="9"/>
    </w:pPr>
    <w:rPr>
      <w:noProof/>
    </w:rPr>
  </w:style>
  <w:style w:type="paragraph" w:styleId="Index2">
    <w:name w:val="index 2"/>
    <w:basedOn w:val="Normal"/>
    <w:next w:val="Normal"/>
    <w:semiHidden/>
    <w:rsid w:val="00832FDD"/>
    <w:pPr>
      <w:tabs>
        <w:tab w:val="right" w:pos="4176"/>
      </w:tabs>
      <w:ind w:left="568" w:hanging="284"/>
    </w:pPr>
    <w:rPr>
      <w:rFonts w:ascii="Garamond" w:hAnsi="Garamond"/>
    </w:rPr>
  </w:style>
  <w:style w:type="paragraph" w:customStyle="1" w:styleId="Byline">
    <w:name w:val="Byline"/>
    <w:rsid w:val="00832F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2FDD"/>
    <w:pPr>
      <w:tabs>
        <w:tab w:val="clear" w:pos="3600"/>
        <w:tab w:val="clear" w:pos="3958"/>
      </w:tabs>
      <w:jc w:val="right"/>
    </w:pPr>
  </w:style>
  <w:style w:type="character" w:styleId="Emphasis">
    <w:name w:val="Emphasis"/>
    <w:basedOn w:val="DefaultParagraphFont"/>
    <w:qFormat/>
    <w:rsid w:val="00832FDD"/>
    <w:rPr>
      <w:i/>
    </w:rPr>
  </w:style>
  <w:style w:type="paragraph" w:styleId="Caption">
    <w:name w:val="caption"/>
    <w:basedOn w:val="BodyText"/>
    <w:next w:val="Normal"/>
    <w:qFormat/>
    <w:rsid w:val="00832FDD"/>
    <w:pPr>
      <w:framePr w:w="2268" w:hSpace="181" w:vSpace="181" w:wrap="around" w:vAnchor="text" w:hAnchor="page" w:x="1135" w:y="285" w:anchorLock="1"/>
    </w:pPr>
    <w:rPr>
      <w:i/>
    </w:rPr>
  </w:style>
  <w:style w:type="paragraph" w:customStyle="1" w:styleId="MiniTOCTitle">
    <w:name w:val="MiniTOCTitle"/>
    <w:basedOn w:val="Heading4"/>
    <w:rsid w:val="00832FDD"/>
    <w:pPr>
      <w:spacing w:before="240"/>
      <w:outlineLvl w:val="9"/>
    </w:pPr>
    <w:rPr>
      <w:noProof/>
      <w:sz w:val="24"/>
    </w:rPr>
  </w:style>
  <w:style w:type="paragraph" w:customStyle="1" w:styleId="MiniTOCItem">
    <w:name w:val="MiniTOCItem"/>
    <w:basedOn w:val="ListBullet"/>
    <w:rsid w:val="00832FDD"/>
    <w:pPr>
      <w:numPr>
        <w:numId w:val="0"/>
      </w:numPr>
      <w:tabs>
        <w:tab w:val="right" w:leader="dot" w:pos="6521"/>
      </w:tabs>
      <w:spacing w:before="0" w:after="0"/>
    </w:pPr>
  </w:style>
  <w:style w:type="paragraph" w:customStyle="1" w:styleId="TOFTitle">
    <w:name w:val="TOFTitle"/>
    <w:basedOn w:val="TOCTitle"/>
    <w:rsid w:val="00832FDD"/>
  </w:style>
  <w:style w:type="paragraph" w:styleId="TableofFigures">
    <w:name w:val="table of figures"/>
    <w:basedOn w:val="Normal"/>
    <w:next w:val="Normal"/>
    <w:semiHidden/>
    <w:rsid w:val="00832FDD"/>
    <w:pPr>
      <w:tabs>
        <w:tab w:val="right" w:leader="dot" w:pos="9072"/>
      </w:tabs>
      <w:ind w:left="970" w:hanging="403"/>
    </w:pPr>
    <w:rPr>
      <w:rFonts w:ascii="Times New Roman" w:hAnsi="Times New Roman"/>
      <w:b/>
    </w:rPr>
  </w:style>
  <w:style w:type="paragraph" w:styleId="ListNumber">
    <w:name w:val="List Number"/>
    <w:basedOn w:val="List"/>
    <w:rsid w:val="00832FDD"/>
    <w:pPr>
      <w:numPr>
        <w:numId w:val="14"/>
      </w:numPr>
      <w:tabs>
        <w:tab w:val="clear" w:pos="340"/>
      </w:tabs>
    </w:pPr>
  </w:style>
  <w:style w:type="character" w:customStyle="1" w:styleId="WingdingSymbols">
    <w:name w:val="Wingding Symbols"/>
    <w:rsid w:val="00832FDD"/>
    <w:rPr>
      <w:rFonts w:ascii="Wingdings" w:hAnsi="Wingdings"/>
    </w:rPr>
  </w:style>
  <w:style w:type="paragraph" w:customStyle="1" w:styleId="TableHeading">
    <w:name w:val="Table Heading"/>
    <w:basedOn w:val="HeadingBase"/>
    <w:rsid w:val="00832FDD"/>
    <w:pPr>
      <w:keepLines/>
      <w:pBdr>
        <w:bottom w:val="single" w:sz="6" w:space="1" w:color="918585"/>
      </w:pBdr>
      <w:spacing w:before="240"/>
    </w:pPr>
  </w:style>
  <w:style w:type="character" w:customStyle="1" w:styleId="HotSpot">
    <w:name w:val="HotSpot"/>
    <w:rsid w:val="00832FDD"/>
    <w:rPr>
      <w:color w:val="0033CC"/>
      <w:u w:val="none"/>
    </w:rPr>
  </w:style>
  <w:style w:type="paragraph" w:customStyle="1" w:styleId="BodyTextRight">
    <w:name w:val="Body Text Right"/>
    <w:basedOn w:val="BodyText"/>
    <w:rsid w:val="00832FDD"/>
    <w:pPr>
      <w:spacing w:before="0" w:after="0"/>
      <w:jc w:val="right"/>
    </w:pPr>
  </w:style>
  <w:style w:type="paragraph" w:styleId="Index3">
    <w:name w:val="index 3"/>
    <w:basedOn w:val="ListNumber2"/>
    <w:next w:val="Normal"/>
    <w:semiHidden/>
    <w:rsid w:val="00832FDD"/>
    <w:pPr>
      <w:numPr>
        <w:numId w:val="0"/>
      </w:numPr>
      <w:tabs>
        <w:tab w:val="right" w:leader="dot" w:pos="4176"/>
      </w:tabs>
    </w:pPr>
  </w:style>
  <w:style w:type="paragraph" w:styleId="ListNumber2">
    <w:name w:val="List Number 2"/>
    <w:basedOn w:val="List2"/>
    <w:rsid w:val="00832FDD"/>
    <w:pPr>
      <w:numPr>
        <w:numId w:val="9"/>
      </w:numPr>
      <w:tabs>
        <w:tab w:val="clear" w:pos="1060"/>
      </w:tabs>
    </w:pPr>
  </w:style>
  <w:style w:type="paragraph" w:customStyle="1" w:styleId="MarginNote">
    <w:name w:val="Margin Note"/>
    <w:basedOn w:val="BodyText"/>
    <w:rsid w:val="00832F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2F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2F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2FDD"/>
    <w:rPr>
      <w:sz w:val="32"/>
    </w:rPr>
  </w:style>
  <w:style w:type="paragraph" w:customStyle="1" w:styleId="HeadingProcedure">
    <w:name w:val="Heading Procedure"/>
    <w:basedOn w:val="HeadingBase"/>
    <w:next w:val="Normal"/>
    <w:rsid w:val="00832FDD"/>
    <w:pPr>
      <w:tabs>
        <w:tab w:val="left" w:pos="0"/>
      </w:tabs>
      <w:spacing w:before="120" w:after="60"/>
    </w:pPr>
    <w:rPr>
      <w:i/>
      <w:color w:val="918585"/>
      <w:sz w:val="22"/>
    </w:rPr>
  </w:style>
  <w:style w:type="paragraph" w:customStyle="1" w:styleId="TableBodyText">
    <w:name w:val="Table Body Text"/>
    <w:basedOn w:val="BodyText"/>
    <w:rsid w:val="00832FDD"/>
    <w:pPr>
      <w:spacing w:before="60" w:after="60"/>
    </w:pPr>
  </w:style>
  <w:style w:type="paragraph" w:styleId="ListContinue">
    <w:name w:val="List Continue"/>
    <w:basedOn w:val="List"/>
    <w:rsid w:val="00832FDD"/>
    <w:pPr>
      <w:ind w:firstLine="0"/>
    </w:pPr>
  </w:style>
  <w:style w:type="paragraph" w:customStyle="1" w:styleId="ListNote">
    <w:name w:val="List Note"/>
    <w:basedOn w:val="List"/>
    <w:rsid w:val="00832FDD"/>
    <w:pPr>
      <w:pBdr>
        <w:top w:val="single" w:sz="6" w:space="2" w:color="918585"/>
        <w:bottom w:val="single" w:sz="6" w:space="2" w:color="918585"/>
      </w:pBdr>
      <w:tabs>
        <w:tab w:val="left" w:pos="1021"/>
      </w:tabs>
      <w:ind w:firstLine="0"/>
    </w:pPr>
  </w:style>
  <w:style w:type="paragraph" w:customStyle="1" w:styleId="Warning">
    <w:name w:val="Warning"/>
    <w:basedOn w:val="BodyText"/>
    <w:rsid w:val="00832FDD"/>
    <w:pPr>
      <w:shd w:val="clear" w:color="auto" w:fill="D9D9D9"/>
      <w:tabs>
        <w:tab w:val="left" w:pos="992"/>
      </w:tabs>
      <w:ind w:left="119" w:right="119"/>
    </w:pPr>
    <w:rPr>
      <w:sz w:val="20"/>
    </w:rPr>
  </w:style>
  <w:style w:type="paragraph" w:customStyle="1" w:styleId="MarginIcons">
    <w:name w:val="Margin Icons"/>
    <w:basedOn w:val="BodyText"/>
    <w:rsid w:val="00832F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2FDD"/>
    <w:rPr>
      <w:rFonts w:ascii="Courier New" w:hAnsi="Courier New"/>
    </w:rPr>
  </w:style>
  <w:style w:type="paragraph" w:customStyle="1" w:styleId="NoteBullet">
    <w:name w:val="Note Bullet"/>
    <w:basedOn w:val="Note"/>
    <w:rsid w:val="00832FDD"/>
    <w:pPr>
      <w:tabs>
        <w:tab w:val="clear" w:pos="680"/>
      </w:tabs>
      <w:spacing w:before="60" w:after="60"/>
    </w:pPr>
  </w:style>
  <w:style w:type="paragraph" w:customStyle="1" w:styleId="SubHeading2">
    <w:name w:val="SubHeading2"/>
    <w:basedOn w:val="HeadingBase"/>
    <w:rsid w:val="00832FDD"/>
    <w:pPr>
      <w:spacing w:before="240" w:after="60"/>
    </w:pPr>
    <w:rPr>
      <w:sz w:val="20"/>
    </w:rPr>
  </w:style>
  <w:style w:type="paragraph" w:customStyle="1" w:styleId="SubHeading1">
    <w:name w:val="SubHeading1"/>
    <w:basedOn w:val="HeadingBase"/>
    <w:rsid w:val="00832FDD"/>
    <w:pPr>
      <w:spacing w:before="240" w:after="60"/>
    </w:pPr>
    <w:rPr>
      <w:color w:val="918585"/>
      <w:sz w:val="22"/>
    </w:rPr>
  </w:style>
  <w:style w:type="paragraph" w:customStyle="1" w:styleId="SideHeading">
    <w:name w:val="Side Heading"/>
    <w:basedOn w:val="HeadingBase"/>
    <w:rsid w:val="00832F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2FDD"/>
    <w:pPr>
      <w:numPr>
        <w:numId w:val="10"/>
      </w:numPr>
    </w:pPr>
  </w:style>
  <w:style w:type="paragraph" w:styleId="PlainText">
    <w:name w:val="Plain Text"/>
    <w:basedOn w:val="Normal"/>
    <w:link w:val="PlainTextChar"/>
    <w:rsid w:val="00832FDD"/>
    <w:rPr>
      <w:sz w:val="20"/>
    </w:rPr>
  </w:style>
  <w:style w:type="character" w:customStyle="1" w:styleId="PlainTextChar">
    <w:name w:val="Plain Text Char"/>
    <w:basedOn w:val="DefaultParagraphFont"/>
    <w:link w:val="PlainText"/>
    <w:rsid w:val="00832FDD"/>
    <w:rPr>
      <w:rFonts w:ascii="Courier New" w:eastAsia="Times New Roman" w:hAnsi="Courier New" w:cs="Times New Roman"/>
      <w:sz w:val="20"/>
      <w:szCs w:val="20"/>
      <w:lang w:eastAsia="en-US"/>
    </w:rPr>
  </w:style>
  <w:style w:type="character" w:customStyle="1" w:styleId="MenuOption">
    <w:name w:val="Menu Option"/>
    <w:basedOn w:val="DefaultParagraphFont"/>
    <w:rsid w:val="00832FDD"/>
    <w:rPr>
      <w:b/>
      <w:smallCaps/>
    </w:rPr>
  </w:style>
  <w:style w:type="paragraph" w:customStyle="1" w:styleId="TableListNumber">
    <w:name w:val="Table List Number"/>
    <w:basedOn w:val="ListNumber"/>
    <w:rsid w:val="00832FDD"/>
    <w:pPr>
      <w:numPr>
        <w:numId w:val="0"/>
      </w:numPr>
    </w:pPr>
  </w:style>
  <w:style w:type="paragraph" w:styleId="TOC4">
    <w:name w:val="toc 4"/>
    <w:basedOn w:val="TOCBase"/>
    <w:next w:val="Normal"/>
    <w:semiHidden/>
    <w:rsid w:val="00832FDD"/>
    <w:pPr>
      <w:tabs>
        <w:tab w:val="right" w:leader="dot" w:pos="9071"/>
      </w:tabs>
      <w:ind w:left="1701"/>
    </w:pPr>
  </w:style>
  <w:style w:type="paragraph" w:customStyle="1" w:styleId="ListAlpha">
    <w:name w:val="List Alpha"/>
    <w:basedOn w:val="List"/>
    <w:rsid w:val="00832FDD"/>
    <w:pPr>
      <w:numPr>
        <w:numId w:val="8"/>
      </w:numPr>
    </w:pPr>
  </w:style>
  <w:style w:type="paragraph" w:customStyle="1" w:styleId="ListAlpha2">
    <w:name w:val="List Alpha 2"/>
    <w:basedOn w:val="List2"/>
    <w:rsid w:val="00832FDD"/>
    <w:pPr>
      <w:numPr>
        <w:numId w:val="7"/>
      </w:numPr>
    </w:pPr>
  </w:style>
  <w:style w:type="paragraph" w:styleId="List2">
    <w:name w:val="List 2"/>
    <w:basedOn w:val="BodyText"/>
    <w:rsid w:val="00832FDD"/>
    <w:pPr>
      <w:tabs>
        <w:tab w:val="left" w:pos="680"/>
      </w:tabs>
      <w:spacing w:before="60" w:after="60"/>
      <w:ind w:left="680" w:hanging="340"/>
    </w:pPr>
  </w:style>
  <w:style w:type="paragraph" w:styleId="List3">
    <w:name w:val="List 3"/>
    <w:basedOn w:val="BodyText"/>
    <w:rsid w:val="00832FDD"/>
    <w:pPr>
      <w:tabs>
        <w:tab w:val="left" w:pos="1021"/>
      </w:tabs>
      <w:spacing w:before="60" w:after="60"/>
      <w:ind w:left="1020" w:hanging="340"/>
    </w:pPr>
  </w:style>
  <w:style w:type="paragraph" w:styleId="List4">
    <w:name w:val="List 4"/>
    <w:basedOn w:val="BodyText"/>
    <w:rsid w:val="00832FDD"/>
    <w:pPr>
      <w:tabs>
        <w:tab w:val="left" w:pos="1361"/>
      </w:tabs>
      <w:spacing w:before="60" w:after="60"/>
      <w:ind w:left="1361" w:hanging="340"/>
    </w:pPr>
  </w:style>
  <w:style w:type="paragraph" w:styleId="List5">
    <w:name w:val="List 5"/>
    <w:basedOn w:val="BodyText"/>
    <w:rsid w:val="00832FDD"/>
    <w:pPr>
      <w:tabs>
        <w:tab w:val="left" w:pos="1701"/>
      </w:tabs>
      <w:spacing w:before="60" w:after="60"/>
      <w:ind w:left="1701" w:hanging="340"/>
    </w:pPr>
  </w:style>
  <w:style w:type="paragraph" w:styleId="ListBullet3">
    <w:name w:val="List Bullet 3"/>
    <w:basedOn w:val="List3"/>
    <w:rsid w:val="00832FDD"/>
    <w:pPr>
      <w:numPr>
        <w:numId w:val="13"/>
      </w:numPr>
      <w:tabs>
        <w:tab w:val="clear" w:pos="1021"/>
      </w:tabs>
      <w:ind w:left="1037" w:hanging="357"/>
    </w:pPr>
  </w:style>
  <w:style w:type="paragraph" w:styleId="ListBullet4">
    <w:name w:val="List Bullet 4"/>
    <w:basedOn w:val="List4"/>
    <w:rsid w:val="00832FDD"/>
    <w:pPr>
      <w:numPr>
        <w:numId w:val="2"/>
      </w:numPr>
      <w:tabs>
        <w:tab w:val="clear" w:pos="1361"/>
      </w:tabs>
    </w:pPr>
  </w:style>
  <w:style w:type="paragraph" w:styleId="ListBullet5">
    <w:name w:val="List Bullet 5"/>
    <w:basedOn w:val="List5"/>
    <w:rsid w:val="00832FDD"/>
    <w:pPr>
      <w:numPr>
        <w:numId w:val="3"/>
      </w:numPr>
    </w:pPr>
  </w:style>
  <w:style w:type="paragraph" w:styleId="ListContinue2">
    <w:name w:val="List Continue 2"/>
    <w:basedOn w:val="List2"/>
    <w:rsid w:val="00832FDD"/>
    <w:pPr>
      <w:ind w:firstLine="0"/>
    </w:pPr>
  </w:style>
  <w:style w:type="paragraph" w:styleId="ListContinue3">
    <w:name w:val="List Continue 3"/>
    <w:basedOn w:val="List3"/>
    <w:rsid w:val="00832FDD"/>
    <w:pPr>
      <w:ind w:left="1021" w:firstLine="0"/>
    </w:pPr>
  </w:style>
  <w:style w:type="paragraph" w:styleId="ListContinue4">
    <w:name w:val="List Continue 4"/>
    <w:basedOn w:val="List4"/>
    <w:rsid w:val="00832FDD"/>
    <w:pPr>
      <w:ind w:firstLine="0"/>
    </w:pPr>
  </w:style>
  <w:style w:type="paragraph" w:styleId="ListContinue5">
    <w:name w:val="List Continue 5"/>
    <w:basedOn w:val="List5"/>
    <w:rsid w:val="00832FDD"/>
    <w:pPr>
      <w:ind w:firstLine="0"/>
    </w:pPr>
  </w:style>
  <w:style w:type="paragraph" w:styleId="ListNumber3">
    <w:name w:val="List Number 3"/>
    <w:basedOn w:val="List3"/>
    <w:rsid w:val="00832FDD"/>
    <w:pPr>
      <w:numPr>
        <w:numId w:val="4"/>
      </w:numPr>
    </w:pPr>
  </w:style>
  <w:style w:type="paragraph" w:styleId="ListNumber4">
    <w:name w:val="List Number 4"/>
    <w:basedOn w:val="List4"/>
    <w:rsid w:val="00832FDD"/>
    <w:pPr>
      <w:numPr>
        <w:numId w:val="5"/>
      </w:numPr>
    </w:pPr>
  </w:style>
  <w:style w:type="paragraph" w:styleId="ListNumber5">
    <w:name w:val="List Number 5"/>
    <w:basedOn w:val="List5"/>
    <w:rsid w:val="00832FDD"/>
    <w:pPr>
      <w:numPr>
        <w:numId w:val="6"/>
      </w:numPr>
    </w:pPr>
  </w:style>
  <w:style w:type="paragraph" w:styleId="BlockText">
    <w:name w:val="Block Text"/>
    <w:basedOn w:val="Normal"/>
    <w:rsid w:val="00832FDD"/>
    <w:pPr>
      <w:spacing w:after="120"/>
      <w:ind w:left="1440" w:right="1440"/>
    </w:pPr>
  </w:style>
  <w:style w:type="character" w:customStyle="1" w:styleId="Subscript">
    <w:name w:val="Subscript"/>
    <w:basedOn w:val="DefaultParagraphFont"/>
    <w:rsid w:val="00832FDD"/>
    <w:rPr>
      <w:sz w:val="16"/>
      <w:vertAlign w:val="subscript"/>
    </w:rPr>
  </w:style>
  <w:style w:type="character" w:customStyle="1" w:styleId="Superscript">
    <w:name w:val="Superscript"/>
    <w:basedOn w:val="DefaultParagraphFont"/>
    <w:rsid w:val="00832FDD"/>
    <w:rPr>
      <w:sz w:val="16"/>
      <w:vertAlign w:val="superscript"/>
    </w:rPr>
  </w:style>
  <w:style w:type="character" w:customStyle="1" w:styleId="Symbols">
    <w:name w:val="Symbols"/>
    <w:basedOn w:val="DefaultParagraphFont"/>
    <w:rsid w:val="00832FDD"/>
    <w:rPr>
      <w:rFonts w:ascii="Symbol" w:hAnsi="Symbol"/>
    </w:rPr>
  </w:style>
  <w:style w:type="character" w:customStyle="1" w:styleId="MenuOptions">
    <w:name w:val="Menu Options"/>
    <w:basedOn w:val="DefaultParagraphFont"/>
    <w:rsid w:val="00832FDD"/>
    <w:rPr>
      <w:rFonts w:ascii="Arial Narrow" w:hAnsi="Arial Narrow"/>
      <w:smallCaps/>
    </w:rPr>
  </w:style>
  <w:style w:type="character" w:customStyle="1" w:styleId="Buttons">
    <w:name w:val="Buttons"/>
    <w:basedOn w:val="DefaultParagraphFont"/>
    <w:rsid w:val="00832FDD"/>
    <w:rPr>
      <w:b/>
    </w:rPr>
  </w:style>
  <w:style w:type="character" w:customStyle="1" w:styleId="Underlined">
    <w:name w:val="Underlined"/>
    <w:basedOn w:val="DefaultParagraphFont"/>
    <w:rsid w:val="00832FDD"/>
    <w:rPr>
      <w:u w:val="single"/>
    </w:rPr>
  </w:style>
  <w:style w:type="paragraph" w:customStyle="1" w:styleId="TableBodyTextRight">
    <w:name w:val="Table Body Text Right"/>
    <w:basedOn w:val="TableBodyText"/>
    <w:rsid w:val="00832FDD"/>
    <w:pPr>
      <w:widowControl w:val="0"/>
      <w:autoSpaceDE w:val="0"/>
      <w:autoSpaceDN w:val="0"/>
      <w:adjustRightInd w:val="0"/>
      <w:jc w:val="right"/>
    </w:pPr>
    <w:rPr>
      <w:rFonts w:cs="Arial"/>
      <w:szCs w:val="18"/>
    </w:rPr>
  </w:style>
  <w:style w:type="paragraph" w:customStyle="1" w:styleId="CopyrightText">
    <w:name w:val="Copyright Text"/>
    <w:basedOn w:val="BodyText"/>
    <w:rsid w:val="00832FDD"/>
    <w:rPr>
      <w:sz w:val="18"/>
    </w:rPr>
  </w:style>
  <w:style w:type="paragraph" w:customStyle="1" w:styleId="BodySmallRight">
    <w:name w:val="Body Small Right"/>
    <w:basedOn w:val="BodyTextRight"/>
    <w:rsid w:val="00832FDD"/>
    <w:rPr>
      <w:sz w:val="18"/>
      <w:szCs w:val="18"/>
    </w:rPr>
  </w:style>
  <w:style w:type="paragraph" w:customStyle="1" w:styleId="MarginEdition">
    <w:name w:val="Margin Edition"/>
    <w:basedOn w:val="MarginNote"/>
    <w:rsid w:val="00832FDD"/>
    <w:pPr>
      <w:spacing w:before="0" w:after="0"/>
    </w:pPr>
    <w:rPr>
      <w:rFonts w:ascii="Times New Roman" w:hAnsi="Times New Roman"/>
      <w:color w:val="999999"/>
    </w:rPr>
  </w:style>
  <w:style w:type="paragraph" w:customStyle="1" w:styleId="Spacer">
    <w:name w:val="Spacer"/>
    <w:basedOn w:val="Normal"/>
    <w:rsid w:val="00832FDD"/>
    <w:rPr>
      <w:sz w:val="2"/>
      <w:szCs w:val="2"/>
    </w:rPr>
  </w:style>
  <w:style w:type="character" w:customStyle="1" w:styleId="Small">
    <w:name w:val="Small"/>
    <w:basedOn w:val="DefaultParagraphFont"/>
    <w:rsid w:val="00832FDD"/>
    <w:rPr>
      <w:sz w:val="16"/>
    </w:rPr>
  </w:style>
  <w:style w:type="paragraph" w:customStyle="1" w:styleId="WideTable">
    <w:name w:val="Wide Table"/>
    <w:basedOn w:val="Normal"/>
    <w:rsid w:val="00832FDD"/>
    <w:pPr>
      <w:ind w:left="-1418"/>
    </w:pPr>
    <w:rPr>
      <w:sz w:val="2"/>
      <w:szCs w:val="2"/>
    </w:rPr>
  </w:style>
  <w:style w:type="character" w:styleId="PageNumber">
    <w:name w:val="page number"/>
    <w:basedOn w:val="DefaultParagraphFont"/>
    <w:rsid w:val="00832FDD"/>
  </w:style>
  <w:style w:type="paragraph" w:styleId="Quote">
    <w:name w:val="Quote"/>
    <w:basedOn w:val="Heading1"/>
    <w:link w:val="QuoteChar"/>
    <w:qFormat/>
    <w:rsid w:val="00832FDD"/>
    <w:rPr>
      <w:b w:val="0"/>
      <w:sz w:val="72"/>
      <w:szCs w:val="72"/>
      <w:lang w:val="en-NZ"/>
    </w:rPr>
  </w:style>
  <w:style w:type="character" w:customStyle="1" w:styleId="QuoteChar">
    <w:name w:val="Quote Char"/>
    <w:basedOn w:val="DefaultParagraphFont"/>
    <w:link w:val="Quote"/>
    <w:rsid w:val="00832F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2FDD"/>
    <w:pPr>
      <w:pageBreakBefore/>
    </w:pPr>
  </w:style>
  <w:style w:type="paragraph" w:customStyle="1" w:styleId="Border">
    <w:name w:val="Border"/>
    <w:basedOn w:val="Normal"/>
    <w:qFormat/>
    <w:rsid w:val="00832F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2FDD"/>
    <w:rPr>
      <w:b/>
      <w:bCs/>
      <w:i/>
      <w:iCs/>
      <w:color w:val="auto"/>
    </w:rPr>
  </w:style>
  <w:style w:type="paragraph" w:styleId="IntenseQuote">
    <w:name w:val="Intense Quote"/>
    <w:basedOn w:val="Normal"/>
    <w:next w:val="Normal"/>
    <w:link w:val="IntenseQuoteChar"/>
    <w:uiPriority w:val="30"/>
    <w:qFormat/>
    <w:rsid w:val="00832F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2F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2FDD"/>
    <w:rPr>
      <w:smallCaps/>
      <w:color w:val="auto"/>
      <w:u w:val="single"/>
    </w:rPr>
  </w:style>
  <w:style w:type="character" w:styleId="IntenseReference">
    <w:name w:val="Intense Reference"/>
    <w:basedOn w:val="DefaultParagraphFont"/>
    <w:uiPriority w:val="32"/>
    <w:qFormat/>
    <w:rsid w:val="00832FDD"/>
    <w:rPr>
      <w:b/>
      <w:bCs/>
      <w:smallCaps/>
      <w:color w:val="auto"/>
      <w:spacing w:val="5"/>
      <w:u w:val="single"/>
    </w:rPr>
  </w:style>
  <w:style w:type="paragraph" w:customStyle="1" w:styleId="2ColumnHeading">
    <w:name w:val="2Column Heading"/>
    <w:basedOn w:val="BodyText"/>
    <w:qFormat/>
    <w:rsid w:val="00832FDD"/>
    <w:pPr>
      <w:spacing w:after="60"/>
      <w:ind w:left="-2268"/>
    </w:pPr>
    <w:rPr>
      <w:b/>
    </w:rPr>
  </w:style>
  <w:style w:type="paragraph" w:customStyle="1" w:styleId="Heading1TOC">
    <w:name w:val="Heading1 TOC"/>
    <w:basedOn w:val="Normal"/>
    <w:qFormat/>
    <w:rsid w:val="00832FDD"/>
    <w:pPr>
      <w:spacing w:before="240" w:after="120"/>
    </w:pPr>
    <w:rPr>
      <w:rFonts w:ascii="Times New Roman" w:hAnsi="Times New Roman"/>
      <w:b/>
      <w:sz w:val="32"/>
    </w:rPr>
  </w:style>
  <w:style w:type="paragraph" w:customStyle="1" w:styleId="Heading2TOC">
    <w:name w:val="Heading2 TOC"/>
    <w:basedOn w:val="Normal"/>
    <w:qFormat/>
    <w:rsid w:val="00832FDD"/>
    <w:pPr>
      <w:spacing w:before="240" w:after="60"/>
    </w:pPr>
    <w:rPr>
      <w:rFonts w:ascii="Times New Roman" w:hAnsi="Times New Roman"/>
      <w:b/>
      <w:sz w:val="28"/>
    </w:rPr>
  </w:style>
  <w:style w:type="character" w:customStyle="1" w:styleId="Underline">
    <w:name w:val="Underline"/>
    <w:basedOn w:val="DefaultParagraphFont"/>
    <w:qFormat/>
    <w:rsid w:val="00832FDD"/>
    <w:rPr>
      <w:u w:val="single"/>
    </w:rPr>
  </w:style>
  <w:style w:type="character" w:customStyle="1" w:styleId="BoldandItalics">
    <w:name w:val="Bold and Italics"/>
    <w:qFormat/>
    <w:rsid w:val="00832FDD"/>
    <w:rPr>
      <w:b/>
      <w:i/>
      <w:u w:val="none"/>
    </w:rPr>
  </w:style>
  <w:style w:type="paragraph" w:styleId="BalloonText">
    <w:name w:val="Balloon Text"/>
    <w:basedOn w:val="Normal"/>
    <w:link w:val="BalloonTextChar"/>
    <w:rsid w:val="00832FDD"/>
    <w:rPr>
      <w:rFonts w:ascii="Tahoma" w:hAnsi="Tahoma" w:cs="Tahoma"/>
      <w:sz w:val="16"/>
      <w:szCs w:val="16"/>
    </w:rPr>
  </w:style>
  <w:style w:type="character" w:customStyle="1" w:styleId="BalloonTextChar">
    <w:name w:val="Balloon Text Char"/>
    <w:basedOn w:val="DefaultParagraphFont"/>
    <w:link w:val="BalloonText"/>
    <w:rsid w:val="00832F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2F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2F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2FDD"/>
    <w:rPr>
      <w:b/>
      <w:color w:val="660033"/>
      <w:spacing w:val="0"/>
    </w:rPr>
  </w:style>
  <w:style w:type="paragraph" w:customStyle="1" w:styleId="Nameditemlist">
    <w:name w:val="Named item list"/>
    <w:basedOn w:val="BodyText"/>
    <w:qFormat/>
    <w:rsid w:val="00832FDD"/>
    <w:pPr>
      <w:tabs>
        <w:tab w:val="left" w:pos="2835"/>
      </w:tabs>
      <w:ind w:left="2835" w:hanging="2835"/>
    </w:pPr>
  </w:style>
  <w:style w:type="paragraph" w:customStyle="1" w:styleId="BodyTextnopadding">
    <w:name w:val="Body Text no padding"/>
    <w:basedOn w:val="BodyText"/>
    <w:qFormat/>
    <w:rsid w:val="00832FDD"/>
    <w:pPr>
      <w:spacing w:before="0" w:after="0"/>
    </w:pPr>
  </w:style>
  <w:style w:type="paragraph" w:customStyle="1" w:styleId="BodyTextBold">
    <w:name w:val="Body Text Bold"/>
    <w:basedOn w:val="BodyText"/>
    <w:qFormat/>
    <w:rsid w:val="00832FDD"/>
    <w:rPr>
      <w:b/>
    </w:rPr>
  </w:style>
  <w:style w:type="character" w:styleId="Hyperlink">
    <w:name w:val="Hyperlink"/>
    <w:basedOn w:val="DefaultParagraphFont"/>
    <w:uiPriority w:val="99"/>
    <w:unhideWhenUsed/>
    <w:rsid w:val="000035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1005</Words>
  <Characters>6218</Characters>
  <Application>Microsoft Office Word</Application>
  <DocSecurity>0</DocSecurity>
  <Lines>296</Lines>
  <Paragraphs>150</Paragraphs>
  <ScaleCrop>false</ScaleCrop>
  <Company>Author-it Software Corporation Ltd.</Company>
  <LinksUpToDate>false</LinksUpToDate>
  <CharactersWithSpaces>7073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MEM18083 Handle fluorocarbon refrigerants according to regulations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2023-02-03T06:55:00Z</dcterms:created>
  <dcterms:modified xsi:type="dcterms:W3CDTF">2023-02-03T06:55:00Z</dcterms:modified>
</cp:coreProperties>
</file>