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4B08" w:rsidP="00444B08">
      <w:pPr>
        <w:pStyle w:val="Title"/>
      </w:pPr>
      <w:r>
        <w:fldChar w:fldCharType="begin"/>
      </w:r>
      <w:r>
        <w:instrText xml:space="preserve"> TITLE   \* MERGEFORMAT </w:instrText>
      </w:r>
      <w:r>
        <w:fldChar w:fldCharType="separate"/>
      </w:r>
      <w:r>
        <w:t>MEM18072 Manufacture fluid conveying conductor assemblies</w:t>
      </w:r>
      <w:r>
        <w:fldChar w:fldCharType="end"/>
      </w:r>
    </w:p>
    <w:p w:rsidR="00444B08" w:rsidP="00444B08">
      <w:pPr>
        <w:pStyle w:val="Version"/>
        <w:sectPr w:rsidSect="00695C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5C48" w:rsidP="00695C48">
      <w:pPr>
        <w:pStyle w:val="SuperHeading"/>
      </w:pPr>
      <w:r w:rsidRPr="00695C48">
        <w:t>MEM18072 Manufacture fluid conveying conductor assemblies</w:t>
      </w:r>
    </w:p>
    <w:p w:rsidR="00000000" w:rsidRPr="00695C48" w:rsidP="00695C48">
      <w:pPr>
        <w:pStyle w:val="Heading1"/>
      </w:pPr>
      <w:bookmarkStart w:id="1" w:name="O_941598"/>
      <w:bookmarkEnd w:id="1"/>
      <w:r w:rsidRPr="00695C48">
        <w:t>Modification History</w:t>
      </w:r>
    </w:p>
    <w:p w:rsidR="00000000" w:rsidRPr="00695C48" w:rsidP="00444B08">
      <w:pPr>
        <w:pStyle w:val="BodyText"/>
      </w:pPr>
      <w:r w:rsidRPr="00695C48">
        <w:t>Release 1. Supersedes and is equivalent to MEM18072B Manufacture fluid conveying conductor assemblies</w:t>
      </w:r>
    </w:p>
    <w:p w:rsidR="00000000" w:rsidRPr="00695C48" w:rsidP="00695C48">
      <w:pPr>
        <w:pStyle w:val="Heading1"/>
      </w:pPr>
      <w:bookmarkStart w:id="2" w:name="O_941606"/>
      <w:bookmarkEnd w:id="2"/>
      <w:r w:rsidRPr="00695C48">
        <w:t>Application</w:t>
      </w:r>
    </w:p>
    <w:p w:rsidR="00000000" w:rsidRPr="00695C48" w:rsidP="00444B08">
      <w:pPr>
        <w:pStyle w:val="BodyText"/>
      </w:pPr>
      <w:r w:rsidRPr="00695C48">
        <w:t>This unit of competency defines the skills and knowledge required to perform assembly an</w:t>
      </w:r>
      <w:r w:rsidRPr="00695C48">
        <w:t xml:space="preserve">d functional testing of fluid conveying components and assemblies. </w:t>
      </w:r>
    </w:p>
    <w:p w:rsidR="00000000" w:rsidRPr="00695C48" w:rsidP="00444B08">
      <w:pPr>
        <w:pStyle w:val="BodyText"/>
      </w:pPr>
      <w:r w:rsidRPr="00695C48">
        <w:t>Conductor assemblies may apply to positive and negative pressure systems on fixed and mobile plant/equipment, including marine, heavy plant and manufacturing plant applications with syste</w:t>
      </w:r>
      <w:r w:rsidRPr="00695C48">
        <w:t xml:space="preserve">m pressures range of 10.5 MPa to 35 MPa, ranging up to 70 MPa. </w:t>
      </w:r>
    </w:p>
    <w:p w:rsidR="00000000" w:rsidRPr="00695C48" w:rsidP="00444B08">
      <w:pPr>
        <w:pStyle w:val="BodyText"/>
      </w:pPr>
      <w:r w:rsidRPr="00695C48">
        <w:t>Where interpretation of technical drawings is required unit MEM09002 Interpret technical drawing should also be selected.</w:t>
      </w:r>
    </w:p>
    <w:p w:rsidR="00000000" w:rsidRPr="00695C48" w:rsidP="00444B08">
      <w:pPr>
        <w:pStyle w:val="BodyText"/>
      </w:pPr>
      <w:r w:rsidRPr="00695C48">
        <w:t>Where the selection and use of engineering measurement is required u</w:t>
      </w:r>
      <w:r w:rsidRPr="00695C48">
        <w:t>nit MEM12023 Perform engineering measurements should also be selected.</w:t>
      </w:r>
    </w:p>
    <w:p w:rsidR="00000000" w:rsidRPr="00695C48" w:rsidP="00444B08">
      <w:pPr>
        <w:pStyle w:val="BodyText"/>
      </w:pPr>
      <w:r w:rsidRPr="00695C48">
        <w:t>This unit should not be selected when unit MEM18055 Dismantle, replace and assemble engineering components or unit MEM27017 Maintain, fault find and rectify hydraulic systems for mobil</w:t>
      </w:r>
      <w:r w:rsidRPr="00695C48">
        <w:t>e plant has already been selected.</w:t>
      </w:r>
    </w:p>
    <w:p w:rsidR="00000000" w:rsidRPr="00695C48" w:rsidP="00444B08">
      <w:pPr>
        <w:pStyle w:val="BodyText"/>
      </w:pPr>
      <w:r w:rsidRPr="00695C48">
        <w:t>No licensing, legislative or certification requirements apply to this unit at the time of publication.</w:t>
      </w:r>
    </w:p>
    <w:p w:rsidR="00000000" w:rsidRPr="00695C48" w:rsidP="00695C48">
      <w:pPr>
        <w:pStyle w:val="BodyText"/>
      </w:pPr>
      <w:r w:rsidRPr="00695C48">
        <w:rPr>
          <w:rStyle w:val="SpecialBold"/>
        </w:rPr>
        <w:t>Band</w:t>
      </w:r>
      <w:r w:rsidRPr="00695C48">
        <w:t>:</w:t>
      </w:r>
      <w:r w:rsidRPr="00695C48">
        <w:tab/>
      </w:r>
      <w:r w:rsidRPr="00695C48">
        <w:rPr>
          <w:rStyle w:val="SpecialBold"/>
        </w:rPr>
        <w:t>A</w:t>
      </w:r>
    </w:p>
    <w:p w:rsidR="00000000" w:rsidRPr="00695C48" w:rsidP="00695C48">
      <w:pPr>
        <w:pStyle w:val="BodyText"/>
      </w:pPr>
      <w:r w:rsidRPr="00695C48">
        <w:rPr>
          <w:rStyle w:val="SpecialBold"/>
        </w:rPr>
        <w:t>Unit Weight</w:t>
      </w:r>
      <w:r w:rsidRPr="00695C48">
        <w:t>:</w:t>
      </w:r>
      <w:r w:rsidRPr="00695C48">
        <w:tab/>
      </w:r>
      <w:r w:rsidRPr="00695C48">
        <w:rPr>
          <w:rStyle w:val="SpecialBold"/>
        </w:rPr>
        <w:t>4</w:t>
      </w:r>
    </w:p>
    <w:p w:rsidR="00000000" w:rsidRPr="00695C48" w:rsidP="00695C48">
      <w:pPr>
        <w:pStyle w:val="AllowPageBreak"/>
      </w:pPr>
    </w:p>
    <w:p w:rsidR="00000000" w:rsidRPr="00695C48" w:rsidP="00695C48">
      <w:pPr>
        <w:pStyle w:val="Heading1"/>
      </w:pPr>
      <w:bookmarkStart w:id="3" w:name="O_941605"/>
      <w:bookmarkEnd w:id="3"/>
      <w:r w:rsidRPr="00695C48">
        <w:t>Pre-requisite Unit</w:t>
      </w:r>
    </w:p>
    <w:tbl>
      <w:tblPr>
        <w:tblW w:w="0" w:type="auto"/>
        <w:tblLayout w:type="fixed"/>
        <w:tblCellMar>
          <w:left w:w="62" w:type="dxa"/>
          <w:right w:w="62" w:type="dxa"/>
        </w:tblCellMar>
        <w:tblLook w:val="0000"/>
      </w:tblPr>
      <w:tblGrid>
        <w:gridCol w:w="2204"/>
        <w:gridCol w:w="6360"/>
      </w:tblGrid>
      <w:tr w:rsidTr="00695C48">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695C48">
            <w:pPr>
              <w:pStyle w:val="BodyText"/>
              <w:rPr>
                <w:lang w:val="en-NZ"/>
              </w:rPr>
            </w:pPr>
            <w:r w:rsidRPr="00695C48">
              <w:t>MEM05006</w:t>
            </w:r>
          </w:p>
        </w:tc>
        <w:tc>
          <w:tcPr>
            <w:tcW w:w="6360" w:type="dxa"/>
            <w:tcBorders>
              <w:top w:val="nil"/>
              <w:left w:val="nil"/>
              <w:bottom w:val="nil"/>
              <w:right w:val="nil"/>
            </w:tcBorders>
            <w:tcMar>
              <w:top w:w="0" w:type="dxa"/>
              <w:left w:w="62" w:type="dxa"/>
              <w:bottom w:w="0" w:type="dxa"/>
              <w:right w:w="62" w:type="dxa"/>
            </w:tcMar>
          </w:tcPr>
          <w:p w:rsidR="00000000" w:rsidP="00695C48">
            <w:pPr>
              <w:pStyle w:val="BodyText"/>
              <w:rPr>
                <w:lang w:val="en-NZ"/>
              </w:rPr>
            </w:pPr>
            <w:r w:rsidRPr="00695C48">
              <w:t>Perform brazing and/or silver soldering</w:t>
            </w:r>
          </w:p>
        </w:tc>
      </w:tr>
      <w:tr w:rsidTr="00695C48">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695C48">
            <w:pPr>
              <w:pStyle w:val="BodyText"/>
              <w:rPr>
                <w:lang w:val="en-NZ"/>
              </w:rPr>
            </w:pPr>
            <w:r w:rsidRPr="00695C48">
              <w:t>MEM11011</w:t>
            </w:r>
          </w:p>
        </w:tc>
        <w:tc>
          <w:tcPr>
            <w:tcW w:w="6360" w:type="dxa"/>
            <w:tcBorders>
              <w:top w:val="nil"/>
              <w:left w:val="nil"/>
              <w:bottom w:val="nil"/>
              <w:right w:val="nil"/>
            </w:tcBorders>
            <w:tcMar>
              <w:top w:w="0" w:type="dxa"/>
              <w:left w:w="62" w:type="dxa"/>
              <w:bottom w:w="0" w:type="dxa"/>
              <w:right w:w="62" w:type="dxa"/>
            </w:tcMar>
          </w:tcPr>
          <w:p w:rsidR="00000000" w:rsidP="00695C48">
            <w:pPr>
              <w:pStyle w:val="BodyText"/>
              <w:rPr>
                <w:lang w:val="en-NZ"/>
              </w:rPr>
            </w:pPr>
            <w:r w:rsidRPr="00695C48">
              <w:t>Undertake manual handling</w:t>
            </w:r>
          </w:p>
        </w:tc>
      </w:tr>
      <w:tr w:rsidTr="00695C48">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695C48">
            <w:pPr>
              <w:pStyle w:val="BodyText"/>
              <w:rPr>
                <w:lang w:val="en-NZ"/>
              </w:rPr>
            </w:pPr>
            <w:r w:rsidRPr="00695C48">
              <w:t>MEM13015</w:t>
            </w:r>
          </w:p>
        </w:tc>
        <w:tc>
          <w:tcPr>
            <w:tcW w:w="6360" w:type="dxa"/>
            <w:tcBorders>
              <w:top w:val="nil"/>
              <w:left w:val="nil"/>
              <w:bottom w:val="nil"/>
              <w:right w:val="nil"/>
            </w:tcBorders>
            <w:tcMar>
              <w:top w:w="0" w:type="dxa"/>
              <w:left w:w="62" w:type="dxa"/>
              <w:bottom w:w="0" w:type="dxa"/>
              <w:right w:w="62" w:type="dxa"/>
            </w:tcMar>
          </w:tcPr>
          <w:p w:rsidR="00000000" w:rsidP="00695C48">
            <w:pPr>
              <w:pStyle w:val="BodyText"/>
              <w:rPr>
                <w:lang w:val="en-NZ"/>
              </w:rPr>
            </w:pPr>
            <w:r w:rsidRPr="00695C48">
              <w:t>Work safely and effectively in manufacturing and engineering</w:t>
            </w:r>
          </w:p>
        </w:tc>
      </w:tr>
      <w:tr w:rsidTr="00695C48">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695C48">
            <w:pPr>
              <w:pStyle w:val="BodyText"/>
              <w:rPr>
                <w:lang w:val="en-NZ"/>
              </w:rPr>
            </w:pPr>
            <w:r w:rsidRPr="00695C48">
              <w:t>MEM16006</w:t>
            </w:r>
          </w:p>
        </w:tc>
        <w:tc>
          <w:tcPr>
            <w:tcW w:w="6360" w:type="dxa"/>
            <w:tcBorders>
              <w:top w:val="nil"/>
              <w:left w:val="nil"/>
              <w:bottom w:val="nil"/>
              <w:right w:val="nil"/>
            </w:tcBorders>
            <w:tcMar>
              <w:top w:w="0" w:type="dxa"/>
              <w:left w:w="62" w:type="dxa"/>
              <w:bottom w:w="0" w:type="dxa"/>
              <w:right w:w="62" w:type="dxa"/>
            </w:tcMar>
          </w:tcPr>
          <w:p w:rsidR="00000000" w:rsidP="00695C48">
            <w:pPr>
              <w:pStyle w:val="BodyText"/>
              <w:rPr>
                <w:lang w:val="en-NZ"/>
              </w:rPr>
            </w:pPr>
            <w:r w:rsidRPr="00695C48">
              <w:t>Organise and communicate information</w:t>
            </w:r>
          </w:p>
        </w:tc>
      </w:tr>
      <w:tr w:rsidTr="00695C48">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695C48">
            <w:pPr>
              <w:pStyle w:val="BodyText"/>
              <w:rPr>
                <w:lang w:val="en-NZ"/>
              </w:rPr>
            </w:pPr>
            <w:r w:rsidRPr="00695C48">
              <w:t>MEM18001</w:t>
            </w:r>
          </w:p>
        </w:tc>
        <w:tc>
          <w:tcPr>
            <w:tcW w:w="6360" w:type="dxa"/>
            <w:tcBorders>
              <w:top w:val="nil"/>
              <w:left w:val="nil"/>
              <w:bottom w:val="nil"/>
              <w:right w:val="nil"/>
            </w:tcBorders>
            <w:tcMar>
              <w:top w:w="0" w:type="dxa"/>
              <w:left w:w="62" w:type="dxa"/>
              <w:bottom w:w="0" w:type="dxa"/>
              <w:right w:w="62" w:type="dxa"/>
            </w:tcMar>
          </w:tcPr>
          <w:p w:rsidR="00000000" w:rsidRPr="00695C48" w:rsidP="00695C48">
            <w:pPr>
              <w:pStyle w:val="BodyText"/>
            </w:pPr>
            <w:r w:rsidRPr="00695C48">
              <w:t>Use hand tools</w:t>
            </w:r>
          </w:p>
        </w:tc>
      </w:tr>
    </w:tbl>
    <w:p w:rsidR="00000000" w:rsidRPr="00695C48" w:rsidP="00695C48">
      <w:pPr>
        <w:pStyle w:val="BodyText"/>
      </w:pPr>
    </w:p>
    <w:p w:rsidR="00000000" w:rsidRPr="00695C48" w:rsidP="00695C48">
      <w:pPr>
        <w:pStyle w:val="AllowPageBreak"/>
      </w:pPr>
    </w:p>
    <w:p w:rsidR="00000000" w:rsidRPr="00695C48" w:rsidP="00695C48">
      <w:pPr>
        <w:pStyle w:val="Heading1"/>
      </w:pPr>
      <w:bookmarkStart w:id="4" w:name="O_941604"/>
      <w:bookmarkEnd w:id="4"/>
      <w:r w:rsidRPr="00695C48">
        <w:t>Competency Field</w:t>
      </w:r>
    </w:p>
    <w:p w:rsidR="00000000" w:rsidRPr="00695C48" w:rsidP="00444B08">
      <w:pPr>
        <w:pStyle w:val="BodyText"/>
      </w:pPr>
      <w:r w:rsidRPr="00695C48">
        <w:t>Maintenance and diagnostics</w:t>
      </w:r>
    </w:p>
    <w:p w:rsidR="00000000" w:rsidRPr="00695C48" w:rsidP="00695C48">
      <w:pPr>
        <w:pStyle w:val="Heading1"/>
      </w:pPr>
      <w:bookmarkStart w:id="5" w:name="O_941602"/>
      <w:bookmarkEnd w:id="5"/>
      <w:r w:rsidRPr="00695C48">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695C48">
        <w:tblPrEx>
          <w:tblW w:w="0" w:type="auto"/>
          <w:tblLayout w:type="fixed"/>
          <w:tblCellMar>
            <w:left w:w="62" w:type="dxa"/>
            <w:right w:w="62" w:type="dxa"/>
          </w:tblCellMar>
          <w:tblLook w:val="0000"/>
        </w:tblPrEx>
        <w:trPr>
          <w:tblHeader/>
        </w:trPr>
        <w:tc>
          <w:tcPr>
            <w:tcW w:w="2657" w:type="dxa"/>
            <w:gridSpan w:val="2"/>
            <w:tcBorders>
              <w:top w:val="nil"/>
              <w:left w:val="nil"/>
              <w:bottom w:val="nil"/>
              <w:right w:val="nil"/>
            </w:tcBorders>
            <w:tcMar>
              <w:top w:w="0" w:type="dxa"/>
              <w:left w:w="62" w:type="dxa"/>
              <w:bottom w:w="0" w:type="dxa"/>
              <w:right w:w="62" w:type="dxa"/>
            </w:tcMar>
          </w:tcPr>
          <w:p w:rsidR="00000000" w:rsidP="00695C48">
            <w:pPr>
              <w:pStyle w:val="BodyText"/>
              <w:rPr>
                <w:lang w:val="en-NZ"/>
              </w:rPr>
            </w:pPr>
            <w:r w:rsidRPr="00695C48">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695C48">
            <w:pPr>
              <w:pStyle w:val="BodyText"/>
              <w:rPr>
                <w:lang w:val="en-NZ"/>
              </w:rPr>
            </w:pPr>
            <w:r w:rsidRPr="00695C48">
              <w:t>Performance criteria describe the performance needed to demonstrate achievement of the element.</w:t>
            </w:r>
          </w:p>
        </w:tc>
      </w:tr>
      <w:tr w:rsidTr="00695C4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695C48" w:rsidP="00695C48">
            <w:pPr>
              <w:pStyle w:val="BodyText"/>
            </w:pPr>
            <w:r w:rsidRPr="00695C48">
              <w:t>1</w:t>
            </w:r>
          </w:p>
        </w:tc>
        <w:tc>
          <w:tcPr>
            <w:tcW w:w="1974" w:type="dxa"/>
            <w:vMerge w:val="restart"/>
            <w:tcBorders>
              <w:top w:val="nil"/>
              <w:left w:val="nil"/>
              <w:bottom w:val="nil"/>
              <w:right w:val="nil"/>
            </w:tcBorders>
            <w:tcMar>
              <w:top w:w="0" w:type="dxa"/>
              <w:left w:w="62" w:type="dxa"/>
              <w:bottom w:w="0" w:type="dxa"/>
              <w:right w:w="62" w:type="dxa"/>
            </w:tcMar>
          </w:tcPr>
          <w:p w:rsidR="00000000" w:rsidP="00695C48">
            <w:pPr>
              <w:pStyle w:val="BodyText"/>
              <w:rPr>
                <w:lang w:val="en-NZ"/>
              </w:rPr>
            </w:pPr>
            <w:r w:rsidRPr="00695C48">
              <w:rPr>
                <w:rStyle w:val="SpecialBold"/>
              </w:rPr>
              <w:t>Determine job requirements</w:t>
            </w:r>
          </w:p>
        </w:tc>
        <w:tc>
          <w:tcPr>
            <w:tcW w:w="775" w:type="dxa"/>
            <w:tcBorders>
              <w:top w:val="nil"/>
              <w:left w:val="nil"/>
              <w:bottom w:val="nil"/>
              <w:right w:val="nil"/>
            </w:tcBorders>
            <w:tcMar>
              <w:top w:w="0" w:type="dxa"/>
              <w:left w:w="62" w:type="dxa"/>
              <w:bottom w:w="0" w:type="dxa"/>
              <w:right w:w="62" w:type="dxa"/>
            </w:tcMar>
          </w:tcPr>
          <w:p w:rsidR="00000000" w:rsidP="00695C48">
            <w:pPr>
              <w:pStyle w:val="BodyText"/>
              <w:rPr>
                <w:lang w:val="en-NZ"/>
              </w:rPr>
            </w:pPr>
            <w:r w:rsidRPr="00695C48">
              <w:t>1.1</w:t>
            </w:r>
          </w:p>
        </w:tc>
        <w:tc>
          <w:tcPr>
            <w:tcW w:w="5641" w:type="dxa"/>
            <w:tcBorders>
              <w:top w:val="nil"/>
              <w:left w:val="nil"/>
              <w:bottom w:val="nil"/>
              <w:right w:val="nil"/>
            </w:tcBorders>
            <w:tcMar>
              <w:top w:w="0" w:type="dxa"/>
              <w:left w:w="62" w:type="dxa"/>
              <w:bottom w:w="0" w:type="dxa"/>
              <w:right w:w="62" w:type="dxa"/>
            </w:tcMar>
          </w:tcPr>
          <w:p w:rsidR="00000000" w:rsidP="00695C48">
            <w:pPr>
              <w:pStyle w:val="BodyText"/>
              <w:rPr>
                <w:lang w:val="en-NZ"/>
              </w:rPr>
            </w:pPr>
            <w:r w:rsidRPr="00695C48">
              <w:t>Follow standard operating procedures (SOPs)</w:t>
            </w:r>
          </w:p>
        </w:tc>
      </w:tr>
      <w:tr w:rsidTr="00695C4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695C48">
            <w:pPr>
              <w:pStyle w:val="BodyText"/>
              <w:rPr>
                <w:lang w:val="en-NZ"/>
              </w:rPr>
            </w:pPr>
            <w:r w:rsidRPr="00695C48">
              <w:t>1.2</w:t>
            </w:r>
          </w:p>
        </w:tc>
        <w:tc>
          <w:tcPr>
            <w:tcW w:w="5641" w:type="dxa"/>
            <w:tcBorders>
              <w:top w:val="nil"/>
              <w:left w:val="nil"/>
              <w:bottom w:val="nil"/>
              <w:right w:val="nil"/>
            </w:tcBorders>
            <w:tcMar>
              <w:top w:w="0" w:type="dxa"/>
              <w:left w:w="62" w:type="dxa"/>
              <w:bottom w:w="0" w:type="dxa"/>
              <w:right w:w="62" w:type="dxa"/>
            </w:tcMar>
          </w:tcPr>
          <w:p w:rsidR="00000000" w:rsidP="00695C48">
            <w:pPr>
              <w:pStyle w:val="BodyText"/>
              <w:rPr>
                <w:lang w:val="en-NZ"/>
              </w:rPr>
            </w:pPr>
            <w:r w:rsidRPr="00695C48">
              <w:t>Comply with work health and safety (WHS) requirements at all times</w:t>
            </w:r>
          </w:p>
        </w:tc>
      </w:tr>
      <w:tr w:rsidTr="00695C4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695C48">
            <w:pPr>
              <w:pStyle w:val="BodyText"/>
              <w:rPr>
                <w:lang w:val="en-NZ"/>
              </w:rPr>
            </w:pPr>
            <w:r w:rsidRPr="00695C48">
              <w:t>1.3</w:t>
            </w:r>
          </w:p>
        </w:tc>
        <w:tc>
          <w:tcPr>
            <w:tcW w:w="5641" w:type="dxa"/>
            <w:tcBorders>
              <w:top w:val="nil"/>
              <w:left w:val="nil"/>
              <w:bottom w:val="nil"/>
              <w:right w:val="nil"/>
            </w:tcBorders>
            <w:tcMar>
              <w:top w:w="0" w:type="dxa"/>
              <w:left w:w="62" w:type="dxa"/>
              <w:bottom w:w="0" w:type="dxa"/>
              <w:right w:w="62" w:type="dxa"/>
            </w:tcMar>
          </w:tcPr>
          <w:p w:rsidR="00000000" w:rsidP="00695C48">
            <w:pPr>
              <w:pStyle w:val="BodyText"/>
              <w:rPr>
                <w:lang w:val="en-NZ"/>
              </w:rPr>
            </w:pPr>
            <w:r w:rsidRPr="00695C48">
              <w:t>Use appropriate personal protective equipment (PPE) in accordance with SOPs</w:t>
            </w:r>
          </w:p>
        </w:tc>
      </w:tr>
      <w:tr w:rsidTr="00695C4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695C48">
            <w:pPr>
              <w:pStyle w:val="BodyText"/>
              <w:rPr>
                <w:lang w:val="en-NZ"/>
              </w:rPr>
            </w:pPr>
            <w:r w:rsidRPr="00695C48">
              <w:t>1.4</w:t>
            </w:r>
          </w:p>
        </w:tc>
        <w:tc>
          <w:tcPr>
            <w:tcW w:w="5641" w:type="dxa"/>
            <w:tcBorders>
              <w:top w:val="nil"/>
              <w:left w:val="nil"/>
              <w:bottom w:val="nil"/>
              <w:right w:val="nil"/>
            </w:tcBorders>
            <w:tcMar>
              <w:top w:w="0" w:type="dxa"/>
              <w:left w:w="62" w:type="dxa"/>
              <w:bottom w:w="0" w:type="dxa"/>
              <w:right w:w="62" w:type="dxa"/>
            </w:tcMar>
          </w:tcPr>
          <w:p w:rsidR="00000000" w:rsidP="00695C48">
            <w:pPr>
              <w:pStyle w:val="BodyText"/>
              <w:rPr>
                <w:lang w:val="en-NZ"/>
              </w:rPr>
            </w:pPr>
            <w:r w:rsidRPr="00695C48">
              <w:t>Identify job requirements from specifications, job sheets or work instructions</w:t>
            </w:r>
          </w:p>
        </w:tc>
      </w:tr>
      <w:tr w:rsidTr="00695C48">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695C48">
            <w:pPr>
              <w:pStyle w:val="BodyText"/>
              <w:rPr>
                <w:lang w:val="en-NZ"/>
              </w:rPr>
            </w:pPr>
          </w:p>
        </w:tc>
      </w:tr>
      <w:tr w:rsidTr="00695C4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695C48" w:rsidP="00695C48">
            <w:pPr>
              <w:pStyle w:val="BodyText"/>
            </w:pPr>
            <w:r w:rsidRPr="00695C48">
              <w:t>2</w:t>
            </w:r>
          </w:p>
        </w:tc>
        <w:tc>
          <w:tcPr>
            <w:tcW w:w="1974" w:type="dxa"/>
            <w:vMerge w:val="restart"/>
            <w:tcBorders>
              <w:top w:val="nil"/>
              <w:left w:val="nil"/>
              <w:bottom w:val="nil"/>
              <w:right w:val="nil"/>
            </w:tcBorders>
            <w:tcMar>
              <w:top w:w="0" w:type="dxa"/>
              <w:left w:w="62" w:type="dxa"/>
              <w:bottom w:w="0" w:type="dxa"/>
              <w:right w:w="62" w:type="dxa"/>
            </w:tcMar>
          </w:tcPr>
          <w:p w:rsidR="00000000" w:rsidP="00695C48">
            <w:pPr>
              <w:pStyle w:val="BodyText"/>
              <w:rPr>
                <w:lang w:val="en-NZ"/>
              </w:rPr>
            </w:pPr>
            <w:r w:rsidRPr="00695C48">
              <w:rPr>
                <w:rStyle w:val="SpecialBold"/>
              </w:rPr>
              <w:t>Manufacture/repair fluid conveying system conductors and assemblies</w:t>
            </w:r>
          </w:p>
        </w:tc>
        <w:tc>
          <w:tcPr>
            <w:tcW w:w="775" w:type="dxa"/>
            <w:tcBorders>
              <w:top w:val="nil"/>
              <w:left w:val="nil"/>
              <w:bottom w:val="nil"/>
              <w:right w:val="nil"/>
            </w:tcBorders>
            <w:tcMar>
              <w:top w:w="0" w:type="dxa"/>
              <w:left w:w="62" w:type="dxa"/>
              <w:bottom w:w="0" w:type="dxa"/>
              <w:right w:w="62" w:type="dxa"/>
            </w:tcMar>
          </w:tcPr>
          <w:p w:rsidR="00000000" w:rsidP="00695C48">
            <w:pPr>
              <w:pStyle w:val="BodyText"/>
              <w:rPr>
                <w:lang w:val="en-NZ"/>
              </w:rPr>
            </w:pPr>
            <w:r w:rsidRPr="00695C48">
              <w:t>2.1</w:t>
            </w:r>
          </w:p>
        </w:tc>
        <w:tc>
          <w:tcPr>
            <w:tcW w:w="5641" w:type="dxa"/>
            <w:tcBorders>
              <w:top w:val="nil"/>
              <w:left w:val="nil"/>
              <w:bottom w:val="nil"/>
              <w:right w:val="nil"/>
            </w:tcBorders>
            <w:tcMar>
              <w:top w:w="0" w:type="dxa"/>
              <w:left w:w="62" w:type="dxa"/>
              <w:bottom w:w="0" w:type="dxa"/>
              <w:right w:w="62" w:type="dxa"/>
            </w:tcMar>
          </w:tcPr>
          <w:p w:rsidR="00000000" w:rsidP="00695C48">
            <w:pPr>
              <w:pStyle w:val="BodyText"/>
              <w:rPr>
                <w:lang w:val="en-NZ"/>
              </w:rPr>
            </w:pPr>
            <w:r w:rsidRPr="00695C48">
              <w:t>Identify conductor requirements and select appropriate materials/fittings to suit application</w:t>
            </w:r>
          </w:p>
        </w:tc>
      </w:tr>
      <w:tr w:rsidTr="00695C4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695C48">
            <w:pPr>
              <w:pStyle w:val="BodyText"/>
              <w:rPr>
                <w:lang w:val="en-NZ"/>
              </w:rPr>
            </w:pPr>
            <w:r w:rsidRPr="00695C48">
              <w:t>2.2</w:t>
            </w:r>
          </w:p>
        </w:tc>
        <w:tc>
          <w:tcPr>
            <w:tcW w:w="5641" w:type="dxa"/>
            <w:tcBorders>
              <w:top w:val="nil"/>
              <w:left w:val="nil"/>
              <w:bottom w:val="nil"/>
              <w:right w:val="nil"/>
            </w:tcBorders>
            <w:tcMar>
              <w:top w:w="0" w:type="dxa"/>
              <w:left w:w="62" w:type="dxa"/>
              <w:bottom w:w="0" w:type="dxa"/>
              <w:right w:w="62" w:type="dxa"/>
            </w:tcMar>
          </w:tcPr>
          <w:p w:rsidR="00000000" w:rsidP="00695C48">
            <w:pPr>
              <w:pStyle w:val="BodyText"/>
              <w:rPr>
                <w:lang w:val="en-NZ"/>
              </w:rPr>
            </w:pPr>
            <w:r w:rsidRPr="00695C48">
              <w:t>Prepare conductor materials for assembly</w:t>
            </w:r>
          </w:p>
        </w:tc>
      </w:tr>
      <w:tr w:rsidTr="00695C4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695C48">
            <w:pPr>
              <w:pStyle w:val="BodyText"/>
              <w:rPr>
                <w:lang w:val="en-NZ"/>
              </w:rPr>
            </w:pPr>
            <w:r w:rsidRPr="00695C48">
              <w:t>2.3</w:t>
            </w:r>
          </w:p>
        </w:tc>
        <w:tc>
          <w:tcPr>
            <w:tcW w:w="5641" w:type="dxa"/>
            <w:tcBorders>
              <w:top w:val="nil"/>
              <w:left w:val="nil"/>
              <w:bottom w:val="nil"/>
              <w:right w:val="nil"/>
            </w:tcBorders>
            <w:tcMar>
              <w:top w:w="0" w:type="dxa"/>
              <w:left w:w="62" w:type="dxa"/>
              <w:bottom w:w="0" w:type="dxa"/>
              <w:right w:w="62" w:type="dxa"/>
            </w:tcMar>
          </w:tcPr>
          <w:p w:rsidR="00000000" w:rsidP="00695C48">
            <w:pPr>
              <w:pStyle w:val="BodyText"/>
              <w:rPr>
                <w:lang w:val="en-NZ"/>
              </w:rPr>
            </w:pPr>
            <w:r w:rsidRPr="00695C48">
              <w:t>Assemble conductors to specificatio</w:t>
            </w:r>
            <w:r w:rsidRPr="00695C48">
              <w:t>n</w:t>
            </w:r>
          </w:p>
        </w:tc>
      </w:tr>
      <w:tr w:rsidTr="00695C4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695C48">
            <w:pPr>
              <w:pStyle w:val="BodyText"/>
              <w:rPr>
                <w:lang w:val="en-NZ"/>
              </w:rPr>
            </w:pPr>
            <w:r w:rsidRPr="00695C48">
              <w:t>2.4</w:t>
            </w:r>
          </w:p>
        </w:tc>
        <w:tc>
          <w:tcPr>
            <w:tcW w:w="5641" w:type="dxa"/>
            <w:tcBorders>
              <w:top w:val="nil"/>
              <w:left w:val="nil"/>
              <w:bottom w:val="nil"/>
              <w:right w:val="nil"/>
            </w:tcBorders>
            <w:tcMar>
              <w:top w:w="0" w:type="dxa"/>
              <w:left w:w="62" w:type="dxa"/>
              <w:bottom w:w="0" w:type="dxa"/>
              <w:right w:w="62" w:type="dxa"/>
            </w:tcMar>
          </w:tcPr>
          <w:p w:rsidR="00000000" w:rsidP="00695C48">
            <w:pPr>
              <w:pStyle w:val="BodyText"/>
              <w:rPr>
                <w:lang w:val="en-NZ"/>
              </w:rPr>
            </w:pPr>
            <w:r w:rsidRPr="00695C48">
              <w:t>Dismantle faulty fluid conveying system conductors and repair to manufacturer/industry standards and specifications</w:t>
            </w:r>
          </w:p>
        </w:tc>
      </w:tr>
      <w:tr w:rsidTr="00695C48">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695C48">
            <w:pPr>
              <w:pStyle w:val="BodyText"/>
              <w:rPr>
                <w:lang w:val="en-NZ"/>
              </w:rPr>
            </w:pPr>
          </w:p>
        </w:tc>
      </w:tr>
      <w:tr w:rsidTr="00695C4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695C48" w:rsidP="00695C48">
            <w:pPr>
              <w:pStyle w:val="BodyText"/>
            </w:pPr>
            <w:r w:rsidRPr="00695C48">
              <w:t>3</w:t>
            </w:r>
          </w:p>
        </w:tc>
        <w:tc>
          <w:tcPr>
            <w:tcW w:w="1974" w:type="dxa"/>
            <w:vMerge w:val="restart"/>
            <w:tcBorders>
              <w:top w:val="nil"/>
              <w:left w:val="nil"/>
              <w:bottom w:val="nil"/>
              <w:right w:val="nil"/>
            </w:tcBorders>
            <w:tcMar>
              <w:top w:w="0" w:type="dxa"/>
              <w:left w:w="62" w:type="dxa"/>
              <w:bottom w:w="0" w:type="dxa"/>
              <w:right w:w="62" w:type="dxa"/>
            </w:tcMar>
          </w:tcPr>
          <w:p w:rsidR="00000000" w:rsidP="00695C48">
            <w:pPr>
              <w:pStyle w:val="BodyText"/>
              <w:rPr>
                <w:lang w:val="en-NZ"/>
              </w:rPr>
            </w:pPr>
            <w:r w:rsidRPr="00695C48">
              <w:rPr>
                <w:rStyle w:val="SpecialBold"/>
              </w:rPr>
              <w:t>Check/test conductor assemblies</w:t>
            </w:r>
          </w:p>
        </w:tc>
        <w:tc>
          <w:tcPr>
            <w:tcW w:w="775" w:type="dxa"/>
            <w:tcBorders>
              <w:top w:val="nil"/>
              <w:left w:val="nil"/>
              <w:bottom w:val="nil"/>
              <w:right w:val="nil"/>
            </w:tcBorders>
            <w:tcMar>
              <w:top w:w="0" w:type="dxa"/>
              <w:left w:w="62" w:type="dxa"/>
              <w:bottom w:w="0" w:type="dxa"/>
              <w:right w:w="62" w:type="dxa"/>
            </w:tcMar>
          </w:tcPr>
          <w:p w:rsidR="00000000" w:rsidP="00695C48">
            <w:pPr>
              <w:pStyle w:val="BodyText"/>
              <w:rPr>
                <w:lang w:val="en-NZ"/>
              </w:rPr>
            </w:pPr>
            <w:r w:rsidRPr="00695C48">
              <w:t>3.1</w:t>
            </w:r>
          </w:p>
        </w:tc>
        <w:tc>
          <w:tcPr>
            <w:tcW w:w="5641" w:type="dxa"/>
            <w:tcBorders>
              <w:top w:val="nil"/>
              <w:left w:val="nil"/>
              <w:bottom w:val="nil"/>
              <w:right w:val="nil"/>
            </w:tcBorders>
            <w:tcMar>
              <w:top w:w="0" w:type="dxa"/>
              <w:left w:w="62" w:type="dxa"/>
              <w:bottom w:w="0" w:type="dxa"/>
              <w:right w:w="62" w:type="dxa"/>
            </w:tcMar>
          </w:tcPr>
          <w:p w:rsidR="00000000" w:rsidP="00695C48">
            <w:pPr>
              <w:pStyle w:val="BodyText"/>
              <w:rPr>
                <w:lang w:val="en-NZ"/>
              </w:rPr>
            </w:pPr>
            <w:r w:rsidRPr="00695C48">
              <w:t>Test operation of fluid conveying components and assemblies against current industry standards and manufacturer specifications using fluid power principles and relevant reference documents</w:t>
            </w:r>
          </w:p>
        </w:tc>
      </w:tr>
      <w:tr w:rsidTr="00695C4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695C48">
            <w:pPr>
              <w:pStyle w:val="BodyText"/>
              <w:rPr>
                <w:lang w:val="en-NZ"/>
              </w:rPr>
            </w:pPr>
            <w:r w:rsidRPr="00695C48">
              <w:t>3.2</w:t>
            </w:r>
          </w:p>
        </w:tc>
        <w:tc>
          <w:tcPr>
            <w:tcW w:w="5641" w:type="dxa"/>
            <w:tcBorders>
              <w:top w:val="nil"/>
              <w:left w:val="nil"/>
              <w:bottom w:val="nil"/>
              <w:right w:val="nil"/>
            </w:tcBorders>
            <w:tcMar>
              <w:top w:w="0" w:type="dxa"/>
              <w:left w:w="62" w:type="dxa"/>
              <w:bottom w:w="0" w:type="dxa"/>
              <w:right w:w="62" w:type="dxa"/>
            </w:tcMar>
          </w:tcPr>
          <w:p w:rsidR="00000000" w:rsidP="00695C48">
            <w:pPr>
              <w:pStyle w:val="BodyText"/>
              <w:rPr>
                <w:lang w:val="en-NZ"/>
              </w:rPr>
            </w:pPr>
            <w:r w:rsidRPr="00695C48">
              <w:t xml:space="preserve">Identify faulty fluid conveying components and assemblies and confirm failure and/or potential to fail by </w:t>
            </w:r>
            <w:r w:rsidRPr="00695C48">
              <w:t>inspection and testing using fluid power conveying principles, procedures, equipment and safety practices</w:t>
            </w:r>
          </w:p>
        </w:tc>
      </w:tr>
      <w:tr w:rsidTr="00695C4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695C48">
            <w:pPr>
              <w:pStyle w:val="BodyText"/>
              <w:rPr>
                <w:lang w:val="en-NZ"/>
              </w:rPr>
            </w:pPr>
            <w:r w:rsidRPr="00695C48">
              <w:t>3.3</w:t>
            </w:r>
          </w:p>
        </w:tc>
        <w:tc>
          <w:tcPr>
            <w:tcW w:w="5641" w:type="dxa"/>
            <w:tcBorders>
              <w:top w:val="nil"/>
              <w:left w:val="nil"/>
              <w:bottom w:val="nil"/>
              <w:right w:val="nil"/>
            </w:tcBorders>
            <w:tcMar>
              <w:top w:w="0" w:type="dxa"/>
              <w:left w:w="62" w:type="dxa"/>
              <w:bottom w:w="0" w:type="dxa"/>
              <w:right w:w="62" w:type="dxa"/>
            </w:tcMar>
          </w:tcPr>
          <w:p w:rsidR="00000000" w:rsidRPr="00695C48" w:rsidP="00695C48">
            <w:pPr>
              <w:pStyle w:val="BodyText"/>
            </w:pPr>
            <w:r w:rsidRPr="00695C48">
              <w:t>Assemble manufactured/repaired compon</w:t>
            </w:r>
            <w:r w:rsidRPr="00695C48">
              <w:t xml:space="preserve">ents, test in-situ or using high pressure test rigs and verify operation to ensure compliance with required specifications and standards </w:t>
            </w:r>
          </w:p>
        </w:tc>
      </w:tr>
    </w:tbl>
    <w:p w:rsidR="00000000" w:rsidRPr="00695C48" w:rsidP="00695C48">
      <w:pPr>
        <w:pStyle w:val="BodyText"/>
      </w:pPr>
    </w:p>
    <w:p w:rsidR="00000000" w:rsidRPr="00695C48" w:rsidP="00695C48">
      <w:pPr>
        <w:pStyle w:val="AllowPageBreak"/>
      </w:pPr>
    </w:p>
    <w:p w:rsidR="00000000" w:rsidRPr="00695C48" w:rsidP="00695C48">
      <w:pPr>
        <w:pStyle w:val="Heading1"/>
      </w:pPr>
      <w:bookmarkStart w:id="6" w:name="O_941601"/>
      <w:bookmarkEnd w:id="6"/>
      <w:r w:rsidRPr="00695C48">
        <w:t>Foundation Skills</w:t>
      </w:r>
    </w:p>
    <w:p w:rsidR="00000000" w:rsidRPr="00695C48" w:rsidP="00444B08">
      <w:pPr>
        <w:pStyle w:val="BodyText"/>
      </w:pPr>
      <w:r w:rsidRPr="00695C48">
        <w:t>This section describes those required skills (reading, writing, oral communicatio</w:t>
      </w:r>
      <w:r w:rsidRPr="00695C48">
        <w:t xml:space="preserve">n and numeracy) that are essential to workplace performance in this unit of competency.  </w:t>
      </w:r>
    </w:p>
    <w:p w:rsidR="00000000" w:rsidRPr="00695C48" w:rsidP="00444B08">
      <w:pPr>
        <w:pStyle w:val="BodyText"/>
      </w:pPr>
      <w:r w:rsidRPr="00695C48">
        <w:t>Foundation skills essential to performance are explicit in the performance criteria of this unit of competency.</w:t>
      </w:r>
    </w:p>
    <w:p w:rsidR="00000000" w:rsidRPr="00695C48" w:rsidP="00695C48">
      <w:pPr>
        <w:pStyle w:val="Heading1"/>
      </w:pPr>
      <w:bookmarkStart w:id="7" w:name="O_941600"/>
      <w:bookmarkEnd w:id="7"/>
      <w:r w:rsidRPr="00695C48">
        <w:t>Range of Conditions</w:t>
      </w:r>
    </w:p>
    <w:tbl>
      <w:tblPr>
        <w:tblW w:w="0" w:type="auto"/>
        <w:tblLayout w:type="fixed"/>
        <w:tblCellMar>
          <w:left w:w="62" w:type="dxa"/>
          <w:right w:w="62" w:type="dxa"/>
        </w:tblCellMar>
        <w:tblLook w:val="0000"/>
      </w:tblPr>
      <w:tblGrid>
        <w:gridCol w:w="2641"/>
        <w:gridCol w:w="6501"/>
      </w:tblGrid>
      <w:tr w:rsidTr="00695C48">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695C48">
            <w:pPr>
              <w:pStyle w:val="BodyText"/>
              <w:rPr>
                <w:lang w:val="en-NZ"/>
              </w:rPr>
            </w:pPr>
            <w:r w:rsidRPr="00695C48">
              <w:t>This field allows for different work environments and conditions that may affect performance. Essential operating conditions that may be present (depending on the work situation, needs of the candidate, accessibility of the item, and local industry and reg</w:t>
            </w:r>
            <w:r w:rsidRPr="00695C48">
              <w:t>ional contexts) are included.</w:t>
            </w:r>
          </w:p>
        </w:tc>
      </w:tr>
      <w:tr w:rsidTr="00695C48">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695C48">
            <w:pPr>
              <w:pStyle w:val="BodyText"/>
              <w:rPr>
                <w:lang w:val="en-NZ"/>
              </w:rPr>
            </w:pPr>
            <w:r w:rsidRPr="00695C48">
              <w:rPr>
                <w:rStyle w:val="SpecialBold"/>
              </w:rPr>
              <w:t>Components and assemblies include one (1) or more of the following:</w:t>
            </w:r>
            <w:r w:rsidRPr="00695C48">
              <w:t xml:space="preserve"> </w:t>
            </w:r>
          </w:p>
        </w:tc>
        <w:tc>
          <w:tcPr>
            <w:tcW w:w="6501" w:type="dxa"/>
            <w:tcBorders>
              <w:top w:val="nil"/>
              <w:left w:val="nil"/>
              <w:bottom w:val="nil"/>
              <w:right w:val="nil"/>
            </w:tcBorders>
            <w:tcMar>
              <w:top w:w="0" w:type="dxa"/>
              <w:left w:w="62" w:type="dxa"/>
              <w:bottom w:w="0" w:type="dxa"/>
              <w:right w:w="62" w:type="dxa"/>
            </w:tcMar>
          </w:tcPr>
          <w:p w:rsidR="00000000" w:rsidRPr="00695C48" w:rsidP="00695C48">
            <w:pPr>
              <w:pStyle w:val="ListBullet"/>
            </w:pPr>
            <w:r w:rsidRPr="00695C48">
              <w:t>high pressure seals</w:t>
            </w:r>
          </w:p>
          <w:p w:rsidR="00000000" w:rsidRPr="00695C48" w:rsidP="00695C48">
            <w:pPr>
              <w:pStyle w:val="ListBullet"/>
            </w:pPr>
            <w:r w:rsidRPr="00695C48">
              <w:t>seats</w:t>
            </w:r>
          </w:p>
          <w:p w:rsidR="00000000" w:rsidRPr="00695C48" w:rsidP="00695C48">
            <w:pPr>
              <w:pStyle w:val="ListBullet"/>
            </w:pPr>
            <w:r w:rsidRPr="00695C48">
              <w:t>hoses</w:t>
            </w:r>
          </w:p>
          <w:p w:rsidR="00000000" w:rsidRPr="00695C48" w:rsidP="00695C48">
            <w:pPr>
              <w:pStyle w:val="ListBullet"/>
            </w:pPr>
            <w:r w:rsidRPr="00695C48">
              <w:t>tubes</w:t>
            </w:r>
          </w:p>
          <w:p w:rsidR="00000000" w:rsidRPr="00695C48" w:rsidP="00695C48">
            <w:pPr>
              <w:pStyle w:val="ListBullet"/>
            </w:pPr>
            <w:r w:rsidRPr="00695C48">
              <w:t>pipes</w:t>
            </w:r>
          </w:p>
          <w:p w:rsidR="00000000" w:rsidRPr="00695C48" w:rsidP="00695C48">
            <w:pPr>
              <w:pStyle w:val="ListBullet"/>
            </w:pPr>
            <w:r w:rsidRPr="00695C48">
              <w:t>fittings</w:t>
            </w:r>
          </w:p>
          <w:p w:rsidR="00000000" w:rsidRPr="00695C48" w:rsidP="00695C48">
            <w:pPr>
              <w:pStyle w:val="ListBullet"/>
            </w:pPr>
            <w:r w:rsidRPr="00695C48">
              <w:t>connectors</w:t>
            </w:r>
          </w:p>
          <w:p w:rsidR="00000000" w:rsidRPr="00695C48" w:rsidP="00695C48">
            <w:pPr>
              <w:pStyle w:val="ListBullet"/>
            </w:pPr>
            <w:r w:rsidRPr="00695C48">
              <w:t xml:space="preserve">adaptors and anchors </w:t>
            </w:r>
          </w:p>
          <w:p w:rsidR="00000000" w:rsidRPr="00695C48" w:rsidP="00695C48">
            <w:pPr>
              <w:pStyle w:val="ListBullet"/>
            </w:pPr>
            <w:r w:rsidRPr="00695C48">
              <w:t>other associated attachments</w:t>
            </w:r>
          </w:p>
          <w:p w:rsidR="00000000" w:rsidP="00695C48">
            <w:pPr>
              <w:pStyle w:val="BodyText"/>
              <w:rPr>
                <w:lang w:val="en-NZ"/>
              </w:rPr>
            </w:pPr>
          </w:p>
        </w:tc>
      </w:tr>
      <w:tr w:rsidTr="00695C48">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695C48">
            <w:pPr>
              <w:pStyle w:val="BodyText"/>
              <w:rPr>
                <w:lang w:val="en-NZ"/>
              </w:rPr>
            </w:pPr>
            <w:r w:rsidRPr="00695C48">
              <w:rPr>
                <w:rStyle w:val="SpecialBold"/>
              </w:rPr>
              <w:t>Fluid conveying applications include (1) one or more of the following:</w:t>
            </w:r>
          </w:p>
        </w:tc>
        <w:tc>
          <w:tcPr>
            <w:tcW w:w="6501" w:type="dxa"/>
            <w:tcBorders>
              <w:top w:val="nil"/>
              <w:left w:val="nil"/>
              <w:bottom w:val="nil"/>
              <w:right w:val="nil"/>
            </w:tcBorders>
            <w:tcMar>
              <w:top w:w="0" w:type="dxa"/>
              <w:left w:w="62" w:type="dxa"/>
              <w:bottom w:w="0" w:type="dxa"/>
              <w:right w:w="62" w:type="dxa"/>
            </w:tcMar>
          </w:tcPr>
          <w:p w:rsidR="00000000" w:rsidRPr="00695C48" w:rsidP="00695C48">
            <w:pPr>
              <w:pStyle w:val="ListBullet"/>
            </w:pPr>
            <w:r w:rsidRPr="00695C48">
              <w:t>hydraulic</w:t>
            </w:r>
          </w:p>
          <w:p w:rsidR="00000000" w:rsidRPr="00695C48" w:rsidP="00695C48">
            <w:pPr>
              <w:pStyle w:val="ListBullet"/>
            </w:pPr>
            <w:r w:rsidRPr="00695C48">
              <w:t>pneumatic</w:t>
            </w:r>
          </w:p>
          <w:p w:rsidR="00000000" w:rsidRPr="00695C48" w:rsidP="00695C48">
            <w:pPr>
              <w:pStyle w:val="ListBullet"/>
            </w:pPr>
            <w:r w:rsidRPr="00695C48">
              <w:t>water</w:t>
            </w:r>
          </w:p>
          <w:p w:rsidR="00000000" w:rsidRPr="00695C48" w:rsidP="00695C48">
            <w:pPr>
              <w:pStyle w:val="ListBullet"/>
            </w:pPr>
            <w:r w:rsidRPr="00695C48">
              <w:t>gas</w:t>
            </w:r>
          </w:p>
          <w:p w:rsidR="00000000" w:rsidRPr="00695C48" w:rsidP="00695C48">
            <w:pPr>
              <w:pStyle w:val="ListBullet"/>
            </w:pPr>
            <w:r w:rsidRPr="00695C48">
              <w:t>acids/corrosives/alkalines</w:t>
            </w:r>
          </w:p>
          <w:p w:rsidR="00000000" w:rsidRPr="00695C48" w:rsidP="00695C48">
            <w:pPr>
              <w:pStyle w:val="ListBullet"/>
            </w:pPr>
            <w:r w:rsidRPr="00695C48">
              <w:t>abrasives</w:t>
            </w:r>
          </w:p>
          <w:p w:rsidR="00000000" w:rsidRPr="00695C48" w:rsidP="00695C48">
            <w:pPr>
              <w:pStyle w:val="ListBullet"/>
            </w:pPr>
            <w:r w:rsidRPr="00695C48">
              <w:t xml:space="preserve">petroleum </w:t>
            </w:r>
          </w:p>
          <w:p w:rsidR="00000000" w:rsidRPr="00695C48" w:rsidP="00695C48">
            <w:pPr>
              <w:pStyle w:val="ListBullet"/>
            </w:pPr>
            <w:r w:rsidRPr="00695C48">
              <w:t>other dry/wet media</w:t>
            </w:r>
          </w:p>
          <w:p w:rsidR="00000000" w:rsidP="00695C48">
            <w:pPr>
              <w:pStyle w:val="BodyText"/>
              <w:rPr>
                <w:lang w:val="en-NZ"/>
              </w:rPr>
            </w:pPr>
          </w:p>
        </w:tc>
      </w:tr>
      <w:tr w:rsidTr="00695C48">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695C48">
            <w:pPr>
              <w:pStyle w:val="BodyText"/>
              <w:rPr>
                <w:lang w:val="en-NZ"/>
              </w:rPr>
            </w:pPr>
            <w:r w:rsidRPr="00695C48">
              <w:rPr>
                <w:rStyle w:val="SpecialBold"/>
              </w:rPr>
              <w:t>Manufactured/assembled includes the use of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695C48" w:rsidP="00695C48">
            <w:pPr>
              <w:pStyle w:val="ListBullet"/>
            </w:pPr>
            <w:r w:rsidRPr="00695C48">
              <w:t>hose –</w:t>
            </w:r>
            <w:r w:rsidRPr="00695C48">
              <w:t xml:space="preserve"> skive and measurement tools</w:t>
            </w:r>
          </w:p>
          <w:p w:rsidR="00000000" w:rsidRPr="00695C48" w:rsidP="00695C48">
            <w:pPr>
              <w:pStyle w:val="ListBullet"/>
            </w:pPr>
            <w:r w:rsidRPr="00695C48">
              <w:t>crimping and cleaning machines</w:t>
            </w:r>
          </w:p>
          <w:p w:rsidR="00000000" w:rsidRPr="00695C48" w:rsidP="00695C48">
            <w:pPr>
              <w:pStyle w:val="ListBullet"/>
            </w:pPr>
            <w:r w:rsidRPr="00695C48">
              <w:t>lathes</w:t>
            </w:r>
          </w:p>
          <w:p w:rsidR="00000000" w:rsidRPr="00695C48" w:rsidP="00695C48">
            <w:pPr>
              <w:pStyle w:val="BodyText"/>
            </w:pPr>
          </w:p>
        </w:tc>
      </w:tr>
    </w:tbl>
    <w:p w:rsidR="00000000" w:rsidRPr="00695C48" w:rsidP="00695C48">
      <w:pPr>
        <w:pStyle w:val="BodyText"/>
      </w:pPr>
    </w:p>
    <w:p w:rsidR="00000000" w:rsidRPr="00695C48" w:rsidP="00695C48">
      <w:pPr>
        <w:pStyle w:val="AllowPageBreak"/>
      </w:pPr>
    </w:p>
    <w:p w:rsidR="00000000" w:rsidRPr="00695C48" w:rsidP="00695C48">
      <w:pPr>
        <w:pStyle w:val="Heading1"/>
      </w:pPr>
      <w:bookmarkStart w:id="8" w:name="O_941599"/>
      <w:bookmarkEnd w:id="8"/>
      <w:r w:rsidRPr="00695C48">
        <w:t>Unit Mapping Information</w:t>
      </w:r>
    </w:p>
    <w:p w:rsidR="00000000" w:rsidRPr="00695C48" w:rsidP="00444B08">
      <w:pPr>
        <w:pStyle w:val="BodyText"/>
      </w:pPr>
      <w:r w:rsidRPr="00695C48">
        <w:t>Release 1. Supersedes and is equivalent to MEM18072B Manufacture fluid conveying conductor assemblies</w:t>
      </w:r>
    </w:p>
    <w:p w:rsidR="00000000" w:rsidRPr="00695C48" w:rsidP="00695C48">
      <w:pPr>
        <w:pStyle w:val="Heading1"/>
      </w:pPr>
      <w:bookmarkStart w:id="9" w:name="O_941592"/>
      <w:bookmarkEnd w:id="9"/>
      <w:r w:rsidRPr="00695C48">
        <w:t>Links</w:t>
      </w:r>
    </w:p>
    <w:p w:rsidR="00000000" w:rsidRPr="00695C48" w:rsidP="00444B08">
      <w:pPr>
        <w:pStyle w:val="BodyText"/>
      </w:pPr>
      <w:r w:rsidRPr="00695C4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C166B">
        <w:rPr>
          <w:rStyle w:val="Hyperlink"/>
        </w:rPr>
        <w:t>https://vetnet.gov.au/Pages/TrainingDocs.aspx?q=b7050d37-5fd0-4740-8f7d-3b7a49c10bb2</w:t>
      </w:r>
      <w:r>
        <w:fldChar w:fldCharType="end"/>
      </w:r>
    </w:p>
    <w:p w:rsidR="00000000" w:rsidRPr="00695C48" w:rsidP="00444B08">
      <w:pPr>
        <w:pStyle w:val="BodyText"/>
        <w:sectPr w:rsidSect="00695C48">
          <w:headerReference w:type="default" r:id="rId10"/>
          <w:footerReference w:type="default" r:id="rId11"/>
          <w:pgSz w:w="11908" w:h="16833"/>
          <w:pgMar w:top="1702" w:right="1418" w:bottom="1702" w:left="1418" w:header="992" w:footer="992" w:gutter="0"/>
          <w:cols w:space="720"/>
          <w:noEndnote/>
          <w:docGrid w:linePitch="299"/>
        </w:sectPr>
      </w:pPr>
    </w:p>
    <w:p w:rsidR="00000000" w:rsidRPr="00695C48" w:rsidP="00695C48">
      <w:pPr>
        <w:pStyle w:val="SuperHeading"/>
      </w:pPr>
      <w:r w:rsidRPr="00695C48">
        <w:t>Assessment Requirements for MEM18072 Manufacture fluid conveyin</w:t>
      </w:r>
      <w:r w:rsidRPr="00695C48">
        <w:t>g conductor assemblies</w:t>
      </w:r>
    </w:p>
    <w:p w:rsidR="00000000" w:rsidRPr="00695C48" w:rsidP="00695C48">
      <w:pPr>
        <w:pStyle w:val="Heading1"/>
      </w:pPr>
      <w:bookmarkStart w:id="10" w:name="O_941594"/>
      <w:bookmarkEnd w:id="10"/>
      <w:r w:rsidRPr="00695C48">
        <w:t>Modification History</w:t>
      </w:r>
    </w:p>
    <w:p w:rsidR="00000000" w:rsidRPr="00695C48" w:rsidP="00444B08">
      <w:pPr>
        <w:pStyle w:val="BodyText"/>
      </w:pPr>
      <w:r w:rsidRPr="00695C48">
        <w:t xml:space="preserve">Release 1. Supersedes and is equivalent to MEM18072B Manufacture fluid conveying conductor assemblies </w:t>
      </w:r>
    </w:p>
    <w:p w:rsidR="00000000" w:rsidRPr="00695C48" w:rsidP="00695C48">
      <w:pPr>
        <w:pStyle w:val="Heading1"/>
      </w:pPr>
      <w:bookmarkStart w:id="11" w:name="O_941597"/>
      <w:bookmarkEnd w:id="11"/>
      <w:r w:rsidRPr="00695C48">
        <w:t>Performance Evidence</w:t>
      </w:r>
    </w:p>
    <w:p w:rsidR="00000000" w:rsidRPr="00695C48" w:rsidP="00444B08">
      <w:pPr>
        <w:pStyle w:val="BodyText"/>
      </w:pPr>
      <w:r w:rsidRPr="00695C48">
        <w:t>Evidence required to demonstrate competence in this unit must be relevant to and satisfy the requirements of the elements and performance criteria on at least two (2) occasions and include:</w:t>
      </w:r>
    </w:p>
    <w:p w:rsidR="00000000" w:rsidRPr="00695C48" w:rsidP="00695C48">
      <w:pPr>
        <w:pStyle w:val="ListBullet"/>
      </w:pPr>
      <w:r w:rsidRPr="00695C48">
        <w:t>following work instructions, standard operating procedures (SOPs)</w:t>
      </w:r>
      <w:r w:rsidRPr="00695C48">
        <w:t xml:space="preserve"> and safe work practices </w:t>
      </w:r>
    </w:p>
    <w:p w:rsidR="00000000" w:rsidRPr="00695C48" w:rsidP="00695C48">
      <w:pPr>
        <w:pStyle w:val="ListBullet"/>
      </w:pPr>
      <w:r w:rsidRPr="00695C48">
        <w:t>identifying and interpreting tables and charts, equipment specifications, circuit and schematic diagrams and obtaining relevant data with respect to manufacturing fluid conveying conductor assemblies</w:t>
      </w:r>
    </w:p>
    <w:p w:rsidR="00000000" w:rsidRPr="00695C48" w:rsidP="00695C48">
      <w:pPr>
        <w:pStyle w:val="ListBullet"/>
      </w:pPr>
      <w:r w:rsidRPr="00695C48">
        <w:t>preparing and assembling condu</w:t>
      </w:r>
      <w:r w:rsidRPr="00695C48">
        <w:t xml:space="preserve">ctors using appropriate tools and equipment to specifications and industry standards </w:t>
      </w:r>
    </w:p>
    <w:p w:rsidR="00000000" w:rsidRPr="00695C48" w:rsidP="00695C48">
      <w:pPr>
        <w:pStyle w:val="ListBullet"/>
      </w:pPr>
      <w:r w:rsidRPr="00695C48">
        <w:t xml:space="preserve">performing pressure testing on fluid conveying assemblies and individual components and identifying faulty items and confirming failure or potential to fail and carrying </w:t>
      </w:r>
      <w:r w:rsidRPr="00695C48">
        <w:t>out appropriate remedial action</w:t>
      </w:r>
    </w:p>
    <w:p w:rsidR="00000000" w:rsidRPr="00695C48" w:rsidP="00695C48">
      <w:pPr>
        <w:pStyle w:val="ListBullet"/>
      </w:pPr>
      <w:r w:rsidRPr="00695C48">
        <w:t xml:space="preserve">testing and verifying correct operation of components to ensure compliance to manufacturer and industry standards using appropriate test equipment and rigs </w:t>
      </w:r>
    </w:p>
    <w:p w:rsidR="00000000" w:rsidRPr="00695C48" w:rsidP="00695C48">
      <w:pPr>
        <w:pStyle w:val="ListBullet"/>
      </w:pPr>
      <w:r w:rsidRPr="00695C48">
        <w:t>completing routine reports and certification procedures.</w:t>
      </w:r>
    </w:p>
    <w:p w:rsidR="00000000" w:rsidRPr="00695C48" w:rsidP="00695C48">
      <w:pPr>
        <w:pStyle w:val="AllowPageBreak"/>
      </w:pPr>
    </w:p>
    <w:p w:rsidR="00000000" w:rsidRPr="00695C48" w:rsidP="00695C48">
      <w:pPr>
        <w:pStyle w:val="Heading1"/>
      </w:pPr>
      <w:bookmarkStart w:id="12" w:name="O_941596"/>
      <w:bookmarkEnd w:id="12"/>
      <w:r w:rsidRPr="00695C48">
        <w:t>Knowledge Evidence</w:t>
      </w:r>
    </w:p>
    <w:p w:rsidR="00000000" w:rsidRPr="00695C48" w:rsidP="00444B08">
      <w:pPr>
        <w:pStyle w:val="BodyText"/>
      </w:pPr>
      <w:r w:rsidRPr="00695C48">
        <w:t>Evidence required to demonstrate the required knowledge for this unit must be relevant to and satisfy the requirements of the elements and performance criteria and include knowledge of:</w:t>
      </w:r>
    </w:p>
    <w:p w:rsidR="00000000" w:rsidRPr="00695C48" w:rsidP="00695C48">
      <w:pPr>
        <w:pStyle w:val="ListBullet"/>
      </w:pPr>
      <w:r w:rsidRPr="00695C48">
        <w:t>safe work practices and procedures and use</w:t>
      </w:r>
      <w:r w:rsidRPr="00695C48">
        <w:t xml:space="preserve"> of personal protective equipment (PPE)</w:t>
      </w:r>
    </w:p>
    <w:p w:rsidR="00000000" w:rsidRPr="00695C48" w:rsidP="00695C48">
      <w:pPr>
        <w:pStyle w:val="ListBullet"/>
      </w:pPr>
      <w:r w:rsidRPr="00695C48">
        <w:t>conductor materials and fittings for a range of applications and media (fluid types)</w:t>
      </w:r>
    </w:p>
    <w:p w:rsidR="00000000" w:rsidRPr="00695C48" w:rsidP="00695C48">
      <w:pPr>
        <w:pStyle w:val="ListBullet"/>
      </w:pPr>
      <w:r w:rsidRPr="00695C48">
        <w:t>methods for preparation of different conductors, including hose and pipe assemblies</w:t>
      </w:r>
    </w:p>
    <w:p w:rsidR="00000000" w:rsidRPr="00695C48" w:rsidP="00695C48">
      <w:pPr>
        <w:pStyle w:val="ListBullet"/>
      </w:pPr>
      <w:r w:rsidRPr="00695C48">
        <w:t xml:space="preserve">different methods for assembling hose and pipe </w:t>
      </w:r>
      <w:r w:rsidRPr="00695C48">
        <w:t>assemblies</w:t>
      </w:r>
    </w:p>
    <w:p w:rsidR="00000000" w:rsidRPr="00695C48" w:rsidP="00695C48">
      <w:pPr>
        <w:pStyle w:val="ListBullet"/>
      </w:pPr>
      <w:r w:rsidRPr="00695C48">
        <w:t>dismantle and repair procedures</w:t>
      </w:r>
    </w:p>
    <w:p w:rsidR="00000000" w:rsidRPr="00695C48" w:rsidP="00695C48">
      <w:pPr>
        <w:pStyle w:val="ListBullet"/>
      </w:pPr>
      <w:r w:rsidRPr="00695C48">
        <w:t xml:space="preserve">operational function and characteristics of fluid conveying installation and application category types </w:t>
      </w:r>
    </w:p>
    <w:p w:rsidR="00000000" w:rsidRPr="00695C48" w:rsidP="00695C48">
      <w:pPr>
        <w:pStyle w:val="ListBullet"/>
      </w:pPr>
      <w:r w:rsidRPr="00695C48">
        <w:t>industry standards and manufacturer specifications</w:t>
      </w:r>
    </w:p>
    <w:p w:rsidR="00000000" w:rsidRPr="00695C48" w:rsidP="00695C48">
      <w:pPr>
        <w:pStyle w:val="ListBullet"/>
      </w:pPr>
      <w:r w:rsidRPr="00695C48">
        <w:t>procedures to assemble, clean, test and assess operation</w:t>
      </w:r>
    </w:p>
    <w:p w:rsidR="00000000" w:rsidRPr="00695C48" w:rsidP="00695C48">
      <w:pPr>
        <w:pStyle w:val="ListBullet"/>
      </w:pPr>
      <w:r w:rsidRPr="00695C48">
        <w:t>fluid power conveying principles, procedures and safety requirements.</w:t>
      </w:r>
    </w:p>
    <w:p w:rsidR="00000000" w:rsidRPr="00695C48" w:rsidP="00695C48">
      <w:pPr>
        <w:pStyle w:val="AllowPageBreak"/>
      </w:pPr>
    </w:p>
    <w:p w:rsidR="00000000" w:rsidRPr="00695C48" w:rsidP="00695C48">
      <w:pPr>
        <w:pStyle w:val="Heading1"/>
      </w:pPr>
      <w:bookmarkStart w:id="13" w:name="O_941595"/>
      <w:bookmarkEnd w:id="13"/>
      <w:r w:rsidRPr="00695C48">
        <w:t>Assessment Conditions</w:t>
      </w:r>
    </w:p>
    <w:p w:rsidR="00000000" w:rsidRPr="00695C48" w:rsidP="00695C48">
      <w:pPr>
        <w:pStyle w:val="ListBullet"/>
      </w:pPr>
      <w:r w:rsidRPr="00695C48">
        <w:t>Assessors must:</w:t>
      </w:r>
    </w:p>
    <w:p w:rsidR="00000000" w:rsidRPr="00695C48" w:rsidP="00695C48">
      <w:pPr>
        <w:pStyle w:val="ListBullet2"/>
      </w:pPr>
      <w:r w:rsidRPr="00695C48">
        <w:t>have vocational competency in manufacturing fluid conveying conductor assemblies at least to the level being assessed with releva</w:t>
      </w:r>
      <w:r w:rsidRPr="00695C48">
        <w:t>nt industry knowledge and experience</w:t>
      </w:r>
    </w:p>
    <w:p w:rsidR="00000000" w:rsidRPr="00695C48" w:rsidP="00695C48">
      <w:pPr>
        <w:pStyle w:val="ListBullet2"/>
      </w:pPr>
      <w:r w:rsidRPr="00695C48">
        <w:t xml:space="preserve">satisfy the assessor requirements in the </w:t>
      </w:r>
      <w:r w:rsidRPr="00695C48">
        <w:rPr>
          <w:rStyle w:val="Emphasis"/>
        </w:rPr>
        <w:t xml:space="preserve">Standards for Registered Training Organisations 2015 </w:t>
      </w:r>
      <w:r w:rsidRPr="00695C48">
        <w:t xml:space="preserve">or its replacement and comply with the </w:t>
      </w:r>
      <w:r w:rsidRPr="00695C48">
        <w:rPr>
          <w:rStyle w:val="Emphasis"/>
        </w:rPr>
        <w:t xml:space="preserve">National Vocational Education and Training Regulator Act 2011, </w:t>
      </w:r>
      <w:r w:rsidRPr="00695C48">
        <w:t>its replacement</w:t>
      </w:r>
      <w:r w:rsidRPr="00695C48">
        <w:rPr>
          <w:rStyle w:val="Emphasis"/>
        </w:rPr>
        <w:t xml:space="preserve"> </w:t>
      </w:r>
      <w:r w:rsidRPr="00695C48">
        <w:t>or equivalent legislation covering VET regulation in a non-referring state/territory as the case requires</w:t>
      </w:r>
    </w:p>
    <w:p w:rsidR="00000000" w:rsidRPr="00695C48" w:rsidP="00695C48">
      <w:pPr>
        <w:pStyle w:val="ListBullet"/>
      </w:pPr>
      <w:r w:rsidRPr="00695C48">
        <w:t>Where possible assessment must occur in operational workplace situations. Where this is not possible or where personal safety or environmental damage</w:t>
      </w:r>
      <w:r w:rsidRPr="00695C48">
        <w:t xml:space="preserve"> are limiting factors, assessment must occur in a sufficiently </w:t>
      </w:r>
      <w:r w:rsidRPr="00695C48">
        <w:t>rigorous simulated environment that reflects realistic operational workplace conditions. This must cover all aspects of workplace performance, including environment, task skills, task managemen</w:t>
      </w:r>
      <w:r w:rsidRPr="00695C48">
        <w:t>t skills, contingency management skills and job role environment skills</w:t>
      </w:r>
    </w:p>
    <w:p w:rsidR="00000000" w:rsidRPr="00695C48" w:rsidP="00695C48">
      <w:pPr>
        <w:pStyle w:val="ListBullet"/>
      </w:pPr>
      <w:r w:rsidRPr="00695C48">
        <w:t>Conditions for assessment must include access to all tools, equipment, materials and documentation required, including relevant workplace procedures, product and manufacturing specific</w:t>
      </w:r>
      <w:r w:rsidRPr="00695C48">
        <w:t>ations</w:t>
      </w:r>
    </w:p>
    <w:p w:rsidR="00000000" w:rsidRPr="00695C48" w:rsidP="00695C48">
      <w:pPr>
        <w:pStyle w:val="ListBullet"/>
      </w:pPr>
      <w:r w:rsidRPr="00695C48">
        <w:t>Assessment processes and techniques must be appropriate to the language, literacy and numeracy requirements of the work being performed and the needs of the candidate.</w:t>
      </w:r>
    </w:p>
    <w:p w:rsidR="00000000" w:rsidRPr="00695C48" w:rsidP="00695C48">
      <w:pPr>
        <w:pStyle w:val="AllowPageBreak"/>
      </w:pPr>
    </w:p>
    <w:p w:rsidR="00000000" w:rsidRPr="00695C48" w:rsidP="00695C48">
      <w:pPr>
        <w:pStyle w:val="Heading1"/>
      </w:pPr>
      <w:bookmarkStart w:id="14" w:name="O_941593"/>
      <w:bookmarkEnd w:id="14"/>
      <w:r w:rsidRPr="00695C48">
        <w:t>Links</w:t>
      </w:r>
    </w:p>
    <w:p w:rsidR="00000000" w:rsidRPr="00695C48" w:rsidP="00444B08">
      <w:pPr>
        <w:pStyle w:val="BodyText"/>
      </w:pPr>
      <w:r w:rsidRPr="00695C48">
        <w:t>Companion Volume implementation guides are found in VETNet</w:t>
      </w:r>
      <w:r w:rsidRPr="00695C48">
        <w:t xml:space="preserve"> - </w:t>
      </w:r>
      <w:r>
        <w:fldChar w:fldCharType="begin"/>
      </w:r>
      <w:r>
        <w:instrText xml:space="preserve"> HYPERLINK "https://vetnet.gov.au/Pages/TrainingDocs.aspx?q=b7050d37-5fd0-4740-8f7d-3b7a49c10bb2" </w:instrText>
      </w:r>
      <w:r>
        <w:fldChar w:fldCharType="separate"/>
      </w:r>
      <w:r w:rsidRPr="00CC166B">
        <w:rPr>
          <w:rStyle w:val="Hyperlink"/>
        </w:rPr>
        <w:t>https://vetnet.gov.au/Pages/TrainingDocs.aspx?q=b7050d37-5fd0-4740-8f7d-3b7a49c10bb2</w:t>
      </w:r>
      <w:r>
        <w:fldChar w:fldCharType="end"/>
      </w:r>
    </w:p>
    <w:p w:rsidR="00000000" w:rsidRPr="00695C48" w:rsidP="00695C48"/>
    <w:sectPr w:rsidSect="00695C4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C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C48" w:rsidRPr="00444B08" w:rsidP="00444B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C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B08" w:rsidP="00695C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44B08" w:rsidP="00695C4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44B08" w:rsidP="00695C4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C48" w:rsidP="00695C48">
    <w:pPr>
      <w:pStyle w:val="Footer"/>
      <w:framePr w:wrap="around"/>
    </w:pPr>
    <w:r>
      <w:fldChar w:fldCharType="begin"/>
    </w:r>
    <w:r>
      <w:instrText xml:space="preserve"> DOCPROPERTY  Subject  \* MERGEFORMAT </w:instrText>
    </w:r>
    <w:r>
      <w:fldChar w:fldCharType="separate"/>
    </w:r>
    <w:r w:rsidR="00444B08">
      <w:t>Approved</w:t>
    </w:r>
    <w:r w:rsidR="00444B08">
      <w:fldChar w:fldCharType="end"/>
    </w:r>
    <w:r>
      <w:tab/>
      <w:t xml:space="preserve">Page </w:t>
    </w:r>
    <w:r>
      <w:fldChar w:fldCharType="begin"/>
    </w:r>
    <w:r>
      <w:instrText xml:space="preserve"> PAGE  \* Arabic  \* MERGEFORMAT </w:instrText>
    </w:r>
    <w:r>
      <w:fldChar w:fldCharType="separate"/>
    </w:r>
    <w:r w:rsidR="00444B0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44B08">
      <w:rPr>
        <w:noProof/>
      </w:rPr>
      <w:t>5</w:t>
    </w:r>
    <w:r>
      <w:rPr>
        <w:noProof/>
      </w:rPr>
      <w:fldChar w:fldCharType="end"/>
    </w:r>
  </w:p>
  <w:p w:rsidR="00695C48" w:rsidP="00695C48">
    <w:pPr>
      <w:pStyle w:val="Footer"/>
      <w:framePr w:wrap="around"/>
    </w:pPr>
    <w:r>
      <w:t xml:space="preserve">© Commonwealth of Australia, </w:t>
    </w:r>
    <w:r>
      <w:fldChar w:fldCharType="begin"/>
    </w:r>
    <w:r>
      <w:instrText xml:space="preserve"> DATE  \@ "yyyy"  \* MERGEFORMAT </w:instrText>
    </w:r>
    <w:r>
      <w:fldChar w:fldCharType="separate"/>
    </w:r>
    <w:r w:rsidR="00444B08">
      <w:rPr>
        <w:noProof/>
      </w:rPr>
      <w:t>2025</w:t>
    </w:r>
    <w:r>
      <w:fldChar w:fldCharType="end"/>
    </w:r>
    <w:r>
      <w:tab/>
    </w:r>
    <w:r>
      <w:fldChar w:fldCharType="begin"/>
    </w:r>
    <w:r>
      <w:instrText xml:space="preserve"> DOCPROPERTY  Author  \* MERGEFORMAT </w:instrText>
    </w:r>
    <w:r>
      <w:fldChar w:fldCharType="separate"/>
    </w:r>
    <w:r w:rsidR="00444B08">
      <w:t>Manufacturing Industry Skills Alliance</w:t>
    </w:r>
    <w:r w:rsidR="00444B08">
      <w:fldChar w:fldCharType="end"/>
    </w:r>
  </w:p>
  <w:p w:rsidR="00695C48" w:rsidP="00695C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C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B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5C48" w:rsidRPr="00444B08" w:rsidP="00444B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C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B08" w:rsidRPr="002D2AF8" w:rsidP="00695C48">
    <w:pPr>
      <w:pStyle w:val="Header"/>
      <w:framePr w:wrap="around"/>
    </w:pPr>
    <w:r>
      <w:fldChar w:fldCharType="begin"/>
    </w:r>
    <w:r>
      <w:instrText xml:space="preserve"> TITLE   \* MERGEFORMAT </w:instrText>
    </w:r>
    <w:r>
      <w:fldChar w:fldCharType="separate"/>
    </w:r>
    <w:r>
      <w:t>MEM18072 Manufacture fluid conveying conductor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44B08" w:rsidP="00695C4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C48" w:rsidRPr="002D2AF8" w:rsidP="00695C48">
    <w:pPr>
      <w:pStyle w:val="Header"/>
      <w:framePr w:wrap="around"/>
    </w:pPr>
    <w:r>
      <w:fldChar w:fldCharType="begin"/>
    </w:r>
    <w:r>
      <w:instrText xml:space="preserve"> TITLE   \* MERGEFORMAT </w:instrText>
    </w:r>
    <w:r>
      <w:fldChar w:fldCharType="separate"/>
    </w:r>
    <w:r w:rsidR="00444B08">
      <w:t>MEM18072 Manufacture fluid conveying conductor assemblies</w:t>
    </w:r>
    <w:r w:rsidR="00444B08">
      <w:fldChar w:fldCharType="end"/>
    </w:r>
    <w:r>
      <w:tab/>
      <w:t xml:space="preserve">Date this document was generated: </w:t>
    </w:r>
    <w:r>
      <w:fldChar w:fldCharType="begin"/>
    </w:r>
    <w:r>
      <w:instrText xml:space="preserve"> CREATEDATE  \@ "d MMMM yyyy"  \* MERGEFORMAT </w:instrText>
    </w:r>
    <w:r>
      <w:fldChar w:fldCharType="separate"/>
    </w:r>
    <w:r w:rsidR="00444B08">
      <w:rPr>
        <w:noProof/>
      </w:rPr>
      <w:t>1 March 2025</w:t>
    </w:r>
    <w:r>
      <w:fldChar w:fldCharType="end"/>
    </w:r>
  </w:p>
  <w:p w:rsidR="00695C48" w:rsidP="00695C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3AA6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3C67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9ED4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5C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5C48"/>
    <w:pPr>
      <w:spacing w:before="360" w:after="60"/>
      <w:outlineLvl w:val="0"/>
    </w:pPr>
    <w:rPr>
      <w:sz w:val="32"/>
    </w:rPr>
  </w:style>
  <w:style w:type="paragraph" w:styleId="Heading2">
    <w:name w:val="heading 2"/>
    <w:basedOn w:val="HeadingBase"/>
    <w:next w:val="BodyText"/>
    <w:link w:val="Heading2Char"/>
    <w:qFormat/>
    <w:rsid w:val="00695C48"/>
    <w:pPr>
      <w:keepLines/>
      <w:spacing w:before="240" w:after="120"/>
      <w:outlineLvl w:val="1"/>
    </w:pPr>
    <w:rPr>
      <w:sz w:val="28"/>
      <w:szCs w:val="40"/>
    </w:rPr>
  </w:style>
  <w:style w:type="paragraph" w:styleId="Heading3">
    <w:name w:val="heading 3"/>
    <w:basedOn w:val="HeadingBase"/>
    <w:next w:val="BodyText"/>
    <w:link w:val="Heading3Char"/>
    <w:qFormat/>
    <w:rsid w:val="00695C48"/>
    <w:pPr>
      <w:spacing w:before="180" w:after="120"/>
      <w:outlineLvl w:val="2"/>
    </w:pPr>
    <w:rPr>
      <w:spacing w:val="-10"/>
      <w:kern w:val="32"/>
    </w:rPr>
  </w:style>
  <w:style w:type="paragraph" w:styleId="Heading4">
    <w:name w:val="heading 4"/>
    <w:basedOn w:val="HeadingBase"/>
    <w:next w:val="BodyText"/>
    <w:link w:val="Heading4Char"/>
    <w:qFormat/>
    <w:rsid w:val="00695C48"/>
    <w:pPr>
      <w:spacing w:before="160" w:after="120"/>
      <w:outlineLvl w:val="3"/>
    </w:pPr>
    <w:rPr>
      <w:sz w:val="22"/>
    </w:rPr>
  </w:style>
  <w:style w:type="paragraph" w:styleId="Heading5">
    <w:name w:val="heading 5"/>
    <w:basedOn w:val="HeadingBase"/>
    <w:next w:val="Normal"/>
    <w:link w:val="Heading5Char"/>
    <w:qFormat/>
    <w:rsid w:val="00695C48"/>
    <w:pPr>
      <w:spacing w:before="80"/>
      <w:outlineLvl w:val="4"/>
    </w:pPr>
    <w:rPr>
      <w:color w:val="918585"/>
      <w:sz w:val="20"/>
    </w:rPr>
  </w:style>
  <w:style w:type="paragraph" w:styleId="Heading6">
    <w:name w:val="heading 6"/>
    <w:basedOn w:val="HeadingBase"/>
    <w:next w:val="Normal"/>
    <w:link w:val="Heading6Char"/>
    <w:qFormat/>
    <w:rsid w:val="00695C48"/>
    <w:pPr>
      <w:spacing w:before="60"/>
      <w:outlineLvl w:val="5"/>
    </w:pPr>
    <w:rPr>
      <w:color w:val="918585"/>
      <w:sz w:val="20"/>
    </w:rPr>
  </w:style>
  <w:style w:type="paragraph" w:styleId="Heading7">
    <w:name w:val="heading 7"/>
    <w:basedOn w:val="Normal"/>
    <w:next w:val="Normal"/>
    <w:link w:val="Heading7Char"/>
    <w:qFormat/>
    <w:rsid w:val="00695C48"/>
    <w:pPr>
      <w:ind w:left="720"/>
      <w:outlineLvl w:val="6"/>
    </w:pPr>
    <w:rPr>
      <w:i/>
    </w:rPr>
  </w:style>
  <w:style w:type="paragraph" w:styleId="Heading8">
    <w:name w:val="heading 8"/>
    <w:basedOn w:val="Normal"/>
    <w:next w:val="Normal"/>
    <w:link w:val="Heading8Char"/>
    <w:qFormat/>
    <w:rsid w:val="00695C48"/>
    <w:pPr>
      <w:ind w:left="720"/>
      <w:outlineLvl w:val="7"/>
    </w:pPr>
    <w:rPr>
      <w:i/>
    </w:rPr>
  </w:style>
  <w:style w:type="paragraph" w:styleId="Heading9">
    <w:name w:val="heading 9"/>
    <w:basedOn w:val="Normal"/>
    <w:next w:val="Normal"/>
    <w:link w:val="Heading9Char"/>
    <w:qFormat/>
    <w:rsid w:val="00695C48"/>
    <w:pPr>
      <w:ind w:left="720"/>
      <w:outlineLvl w:val="8"/>
    </w:pPr>
    <w:rPr>
      <w:i/>
    </w:rPr>
  </w:style>
  <w:style w:type="character" w:default="1" w:styleId="DefaultParagraphFont">
    <w:name w:val="Default Paragraph Font"/>
    <w:uiPriority w:val="1"/>
    <w:unhideWhenUsed/>
    <w:rsid w:val="00695C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5C48"/>
  </w:style>
  <w:style w:type="character" w:customStyle="1" w:styleId="Heading1Char">
    <w:name w:val="Heading 1 Char"/>
    <w:basedOn w:val="DefaultParagraphFont"/>
    <w:link w:val="Heading1"/>
    <w:rsid w:val="00695C48"/>
    <w:rPr>
      <w:rFonts w:ascii="Times New Roman" w:eastAsia="Times New Roman" w:hAnsi="Times New Roman" w:cs="Times New Roman"/>
      <w:b/>
      <w:sz w:val="32"/>
      <w:szCs w:val="20"/>
      <w:lang w:eastAsia="en-US"/>
    </w:rPr>
  </w:style>
  <w:style w:type="paragraph" w:styleId="BodyText">
    <w:name w:val="Body Text"/>
    <w:basedOn w:val="Normal"/>
    <w:link w:val="BodyTextChar"/>
    <w:rsid w:val="00695C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5C48"/>
    <w:rPr>
      <w:rFonts w:ascii="Times New Roman" w:eastAsia="Times New Roman" w:hAnsi="Times New Roman" w:cs="Times New Roman"/>
      <w:sz w:val="24"/>
      <w:lang w:eastAsia="en-US"/>
    </w:rPr>
  </w:style>
  <w:style w:type="paragraph" w:styleId="ListBullet">
    <w:name w:val="List Bullet"/>
    <w:basedOn w:val="List"/>
    <w:rsid w:val="00695C48"/>
    <w:pPr>
      <w:numPr>
        <w:numId w:val="12"/>
      </w:numPr>
      <w:tabs>
        <w:tab w:val="clear" w:pos="340"/>
      </w:tabs>
      <w:spacing w:before="40" w:after="40"/>
    </w:pPr>
  </w:style>
  <w:style w:type="character" w:customStyle="1" w:styleId="SpecialBold">
    <w:name w:val="Special Bold"/>
    <w:basedOn w:val="DefaultParagraphFont"/>
    <w:rsid w:val="00695C48"/>
    <w:rPr>
      <w:b/>
      <w:spacing w:val="0"/>
    </w:rPr>
  </w:style>
  <w:style w:type="paragraph" w:styleId="ListBullet2">
    <w:name w:val="List Bullet 2"/>
    <w:basedOn w:val="List2"/>
    <w:rsid w:val="00695C48"/>
    <w:pPr>
      <w:numPr>
        <w:numId w:val="13"/>
      </w:numPr>
      <w:tabs>
        <w:tab w:val="clear" w:pos="680"/>
      </w:tabs>
    </w:pPr>
  </w:style>
  <w:style w:type="character" w:styleId="Emphasis">
    <w:name w:val="Emphasis"/>
    <w:basedOn w:val="DefaultParagraphFont"/>
    <w:qFormat/>
    <w:rsid w:val="00695C48"/>
    <w:rPr>
      <w:i/>
    </w:rPr>
  </w:style>
  <w:style w:type="paragraph" w:customStyle="1" w:styleId="SuperHeading">
    <w:name w:val="SuperHeading"/>
    <w:basedOn w:val="Normal"/>
    <w:rsid w:val="00695C48"/>
    <w:pPr>
      <w:spacing w:before="240" w:after="120"/>
      <w:outlineLvl w:val="0"/>
    </w:pPr>
    <w:rPr>
      <w:rFonts w:ascii="Times New Roman" w:hAnsi="Times New Roman"/>
      <w:b/>
      <w:sz w:val="32"/>
    </w:rPr>
  </w:style>
  <w:style w:type="paragraph" w:customStyle="1" w:styleId="AllowPageBreak">
    <w:name w:val="AllowPageBreak"/>
    <w:rsid w:val="00695C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5C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5C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5C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5C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5C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5C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5C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5C48"/>
    <w:rPr>
      <w:rFonts w:ascii="Courier New" w:eastAsia="Times New Roman" w:hAnsi="Courier New" w:cs="Times New Roman"/>
      <w:i/>
      <w:szCs w:val="20"/>
      <w:lang w:eastAsia="en-US"/>
    </w:rPr>
  </w:style>
  <w:style w:type="paragraph" w:customStyle="1" w:styleId="HeadingBase">
    <w:name w:val="Heading Base"/>
    <w:rsid w:val="00695C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5C48"/>
    <w:pPr>
      <w:tabs>
        <w:tab w:val="right" w:leader="dot" w:pos="9072"/>
      </w:tabs>
      <w:ind w:left="567"/>
    </w:pPr>
    <w:rPr>
      <w:szCs w:val="22"/>
    </w:rPr>
  </w:style>
  <w:style w:type="paragraph" w:customStyle="1" w:styleId="TOCBase">
    <w:name w:val="TOC Base"/>
    <w:rsid w:val="00695C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5C48"/>
    <w:pPr>
      <w:tabs>
        <w:tab w:val="right" w:leader="dot" w:pos="9072"/>
      </w:tabs>
      <w:spacing w:before="40" w:after="40"/>
      <w:ind w:left="284"/>
    </w:pPr>
    <w:rPr>
      <w:rFonts w:ascii="Times New Roman" w:hAnsi="Times New Roman"/>
    </w:rPr>
  </w:style>
  <w:style w:type="paragraph" w:styleId="TOC1">
    <w:name w:val="toc 1"/>
    <w:basedOn w:val="TOCBase"/>
    <w:next w:val="Normal"/>
    <w:rsid w:val="00695C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5C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5C48"/>
    <w:rPr>
      <w:rFonts w:ascii="Times New Roman" w:eastAsia="Times New Roman" w:hAnsi="Times New Roman" w:cs="Times New Roman"/>
      <w:sz w:val="16"/>
      <w:lang w:eastAsia="en-US"/>
    </w:rPr>
  </w:style>
  <w:style w:type="paragraph" w:styleId="Title">
    <w:name w:val="Title"/>
    <w:basedOn w:val="HeadingBase"/>
    <w:link w:val="TitleChar"/>
    <w:qFormat/>
    <w:rsid w:val="00695C48"/>
    <w:pPr>
      <w:spacing w:before="5040"/>
      <w:jc w:val="center"/>
    </w:pPr>
    <w:rPr>
      <w:sz w:val="48"/>
      <w:szCs w:val="72"/>
      <w:lang w:val="en-US"/>
    </w:rPr>
  </w:style>
  <w:style w:type="character" w:customStyle="1" w:styleId="TitleChar">
    <w:name w:val="Title Char"/>
    <w:basedOn w:val="DefaultParagraphFont"/>
    <w:link w:val="Title"/>
    <w:rsid w:val="00695C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5C48"/>
    <w:pPr>
      <w:tabs>
        <w:tab w:val="left" w:pos="3600"/>
        <w:tab w:val="left" w:pos="3958"/>
      </w:tabs>
    </w:pPr>
  </w:style>
  <w:style w:type="paragraph" w:styleId="List">
    <w:name w:val="List"/>
    <w:basedOn w:val="BodyText"/>
    <w:next w:val="BodyText"/>
    <w:rsid w:val="00695C48"/>
    <w:pPr>
      <w:tabs>
        <w:tab w:val="left" w:pos="340"/>
      </w:tabs>
      <w:spacing w:before="60" w:after="60"/>
      <w:ind w:left="340" w:hanging="340"/>
    </w:pPr>
  </w:style>
  <w:style w:type="paragraph" w:customStyle="1" w:styleId="Note">
    <w:name w:val="Note"/>
    <w:basedOn w:val="BodyText"/>
    <w:rsid w:val="00695C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5C48"/>
    <w:pPr>
      <w:framePr w:wrap="auto" w:hAnchor="text" w:y="6049"/>
    </w:pPr>
    <w:rPr>
      <w:color w:val="000000"/>
      <w:sz w:val="40"/>
    </w:rPr>
  </w:style>
  <w:style w:type="paragraph" w:customStyle="1" w:styleId="TOCTitle">
    <w:name w:val="TOCTitle"/>
    <w:basedOn w:val="Heading1"/>
    <w:rsid w:val="00695C48"/>
    <w:pPr>
      <w:spacing w:after="240"/>
      <w:jc w:val="center"/>
      <w:outlineLvl w:val="9"/>
    </w:pPr>
    <w:rPr>
      <w:caps/>
    </w:rPr>
  </w:style>
  <w:style w:type="paragraph" w:customStyle="1" w:styleId="Version">
    <w:name w:val="Version"/>
    <w:rsid w:val="00695C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5C48"/>
    <w:pPr>
      <w:keepNext w:val="0"/>
      <w:tabs>
        <w:tab w:val="right" w:pos="4176"/>
      </w:tabs>
      <w:ind w:left="198" w:hanging="198"/>
    </w:pPr>
    <w:rPr>
      <w:rFonts w:ascii="Garamond" w:hAnsi="Garamond"/>
    </w:rPr>
  </w:style>
  <w:style w:type="paragraph" w:styleId="IndexHeading">
    <w:name w:val="index heading"/>
    <w:basedOn w:val="Normal"/>
    <w:next w:val="Index1"/>
    <w:semiHidden/>
    <w:rsid w:val="00695C48"/>
    <w:pPr>
      <w:spacing w:before="120" w:after="120"/>
    </w:pPr>
    <w:rPr>
      <w:rFonts w:ascii="Arial" w:hAnsi="Arial"/>
      <w:b/>
      <w:color w:val="918585"/>
      <w:sz w:val="24"/>
    </w:rPr>
  </w:style>
  <w:style w:type="paragraph" w:styleId="Header">
    <w:name w:val="header"/>
    <w:basedOn w:val="Normal"/>
    <w:link w:val="HeaderChar"/>
    <w:rsid w:val="00695C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5C48"/>
    <w:rPr>
      <w:rFonts w:ascii="Times New Roman" w:eastAsia="Times New Roman" w:hAnsi="Times New Roman" w:cs="Times New Roman"/>
      <w:sz w:val="16"/>
      <w:szCs w:val="20"/>
      <w:lang w:val="en-GB" w:eastAsia="en-US"/>
    </w:rPr>
  </w:style>
  <w:style w:type="paragraph" w:customStyle="1" w:styleId="Chapter">
    <w:name w:val="Chapter"/>
    <w:basedOn w:val="Normal"/>
    <w:rsid w:val="00695C48"/>
    <w:pPr>
      <w:spacing w:before="240"/>
    </w:pPr>
    <w:rPr>
      <w:rFonts w:ascii="Times New Roman" w:hAnsi="Times New Roman"/>
      <w:smallCaps/>
      <w:spacing w:val="80"/>
      <w:sz w:val="28"/>
    </w:rPr>
  </w:style>
  <w:style w:type="paragraph" w:customStyle="1" w:styleId="InChapter">
    <w:name w:val="InChapter"/>
    <w:basedOn w:val="Heading3"/>
    <w:rsid w:val="00695C48"/>
    <w:pPr>
      <w:spacing w:after="240"/>
      <w:outlineLvl w:val="9"/>
    </w:pPr>
    <w:rPr>
      <w:noProof/>
    </w:rPr>
  </w:style>
  <w:style w:type="paragraph" w:styleId="Index2">
    <w:name w:val="index 2"/>
    <w:basedOn w:val="Normal"/>
    <w:next w:val="Normal"/>
    <w:semiHidden/>
    <w:rsid w:val="00695C48"/>
    <w:pPr>
      <w:tabs>
        <w:tab w:val="right" w:pos="4176"/>
      </w:tabs>
      <w:ind w:left="568" w:hanging="284"/>
    </w:pPr>
    <w:rPr>
      <w:rFonts w:ascii="Garamond" w:hAnsi="Garamond"/>
    </w:rPr>
  </w:style>
  <w:style w:type="paragraph" w:customStyle="1" w:styleId="Byline">
    <w:name w:val="Byline"/>
    <w:rsid w:val="00695C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5C48"/>
    <w:pPr>
      <w:tabs>
        <w:tab w:val="clear" w:pos="3600"/>
        <w:tab w:val="clear" w:pos="3958"/>
      </w:tabs>
      <w:jc w:val="right"/>
    </w:pPr>
  </w:style>
  <w:style w:type="paragraph" w:styleId="Caption">
    <w:name w:val="caption"/>
    <w:basedOn w:val="BodyText"/>
    <w:next w:val="Normal"/>
    <w:qFormat/>
    <w:rsid w:val="00695C48"/>
    <w:pPr>
      <w:framePr w:w="2268" w:hSpace="181" w:vSpace="181" w:wrap="around" w:vAnchor="text" w:hAnchor="page" w:x="1135" w:y="285" w:anchorLock="1"/>
    </w:pPr>
    <w:rPr>
      <w:i/>
    </w:rPr>
  </w:style>
  <w:style w:type="paragraph" w:customStyle="1" w:styleId="MiniTOCTitle">
    <w:name w:val="MiniTOCTitle"/>
    <w:basedOn w:val="Heading4"/>
    <w:rsid w:val="00695C48"/>
    <w:pPr>
      <w:spacing w:before="240"/>
      <w:outlineLvl w:val="9"/>
    </w:pPr>
    <w:rPr>
      <w:noProof/>
      <w:sz w:val="24"/>
    </w:rPr>
  </w:style>
  <w:style w:type="paragraph" w:customStyle="1" w:styleId="MiniTOCItem">
    <w:name w:val="MiniTOCItem"/>
    <w:basedOn w:val="ListBullet"/>
    <w:rsid w:val="00695C48"/>
    <w:pPr>
      <w:numPr>
        <w:numId w:val="0"/>
      </w:numPr>
      <w:tabs>
        <w:tab w:val="right" w:leader="dot" w:pos="6521"/>
      </w:tabs>
      <w:spacing w:before="0" w:after="0"/>
    </w:pPr>
  </w:style>
  <w:style w:type="paragraph" w:customStyle="1" w:styleId="TOFTitle">
    <w:name w:val="TOFTitle"/>
    <w:basedOn w:val="TOCTitle"/>
    <w:rsid w:val="00695C48"/>
  </w:style>
  <w:style w:type="paragraph" w:styleId="TableofFigures">
    <w:name w:val="table of figures"/>
    <w:basedOn w:val="Normal"/>
    <w:next w:val="Normal"/>
    <w:semiHidden/>
    <w:rsid w:val="00695C48"/>
    <w:pPr>
      <w:tabs>
        <w:tab w:val="right" w:leader="dot" w:pos="9072"/>
      </w:tabs>
      <w:ind w:left="970" w:hanging="403"/>
    </w:pPr>
    <w:rPr>
      <w:rFonts w:ascii="Times New Roman" w:hAnsi="Times New Roman"/>
      <w:b/>
    </w:rPr>
  </w:style>
  <w:style w:type="paragraph" w:styleId="ListNumber">
    <w:name w:val="List Number"/>
    <w:basedOn w:val="List"/>
    <w:rsid w:val="00695C48"/>
    <w:pPr>
      <w:numPr>
        <w:numId w:val="15"/>
      </w:numPr>
      <w:tabs>
        <w:tab w:val="clear" w:pos="340"/>
      </w:tabs>
    </w:pPr>
  </w:style>
  <w:style w:type="character" w:customStyle="1" w:styleId="WingdingSymbols">
    <w:name w:val="Wingding Symbols"/>
    <w:rsid w:val="00695C48"/>
    <w:rPr>
      <w:rFonts w:ascii="Wingdings" w:hAnsi="Wingdings"/>
    </w:rPr>
  </w:style>
  <w:style w:type="paragraph" w:customStyle="1" w:styleId="TableHeading">
    <w:name w:val="Table Heading"/>
    <w:basedOn w:val="HeadingBase"/>
    <w:rsid w:val="00695C48"/>
    <w:pPr>
      <w:keepLines/>
      <w:pBdr>
        <w:bottom w:val="single" w:sz="6" w:space="1" w:color="918585"/>
      </w:pBdr>
      <w:spacing w:before="240"/>
    </w:pPr>
  </w:style>
  <w:style w:type="character" w:customStyle="1" w:styleId="HotSpot">
    <w:name w:val="HotSpot"/>
    <w:rsid w:val="00695C48"/>
    <w:rPr>
      <w:color w:val="0033CC"/>
      <w:u w:val="none"/>
    </w:rPr>
  </w:style>
  <w:style w:type="paragraph" w:customStyle="1" w:styleId="BodyTextRight">
    <w:name w:val="Body Text Right"/>
    <w:basedOn w:val="BodyText"/>
    <w:rsid w:val="00695C48"/>
    <w:pPr>
      <w:spacing w:before="0" w:after="0"/>
      <w:jc w:val="right"/>
    </w:pPr>
  </w:style>
  <w:style w:type="paragraph" w:styleId="Index3">
    <w:name w:val="index 3"/>
    <w:basedOn w:val="ListNumber2"/>
    <w:next w:val="Normal"/>
    <w:semiHidden/>
    <w:rsid w:val="00695C48"/>
    <w:pPr>
      <w:numPr>
        <w:numId w:val="0"/>
      </w:numPr>
      <w:tabs>
        <w:tab w:val="right" w:leader="dot" w:pos="4176"/>
      </w:tabs>
    </w:pPr>
  </w:style>
  <w:style w:type="paragraph" w:styleId="ListNumber2">
    <w:name w:val="List Number 2"/>
    <w:basedOn w:val="List2"/>
    <w:rsid w:val="00695C48"/>
    <w:pPr>
      <w:numPr>
        <w:numId w:val="10"/>
      </w:numPr>
      <w:tabs>
        <w:tab w:val="clear" w:pos="1060"/>
      </w:tabs>
    </w:pPr>
  </w:style>
  <w:style w:type="paragraph" w:customStyle="1" w:styleId="MarginNote">
    <w:name w:val="Margin Note"/>
    <w:basedOn w:val="BodyText"/>
    <w:rsid w:val="00695C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5C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5C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5C48"/>
    <w:rPr>
      <w:sz w:val="32"/>
    </w:rPr>
  </w:style>
  <w:style w:type="paragraph" w:customStyle="1" w:styleId="HeadingProcedure">
    <w:name w:val="Heading Procedure"/>
    <w:basedOn w:val="HeadingBase"/>
    <w:next w:val="Normal"/>
    <w:rsid w:val="00695C48"/>
    <w:pPr>
      <w:tabs>
        <w:tab w:val="left" w:pos="0"/>
      </w:tabs>
      <w:spacing w:before="120" w:after="60"/>
    </w:pPr>
    <w:rPr>
      <w:i/>
      <w:color w:val="918585"/>
      <w:sz w:val="22"/>
    </w:rPr>
  </w:style>
  <w:style w:type="paragraph" w:customStyle="1" w:styleId="TableBodyText">
    <w:name w:val="Table Body Text"/>
    <w:basedOn w:val="BodyText"/>
    <w:rsid w:val="00695C48"/>
    <w:pPr>
      <w:spacing w:before="60" w:after="60"/>
    </w:pPr>
  </w:style>
  <w:style w:type="paragraph" w:styleId="ListContinue">
    <w:name w:val="List Continue"/>
    <w:basedOn w:val="List"/>
    <w:rsid w:val="00695C48"/>
    <w:pPr>
      <w:ind w:firstLine="0"/>
    </w:pPr>
  </w:style>
  <w:style w:type="paragraph" w:customStyle="1" w:styleId="ListNote">
    <w:name w:val="List Note"/>
    <w:basedOn w:val="List"/>
    <w:rsid w:val="00695C48"/>
    <w:pPr>
      <w:pBdr>
        <w:top w:val="single" w:sz="6" w:space="2" w:color="918585"/>
        <w:bottom w:val="single" w:sz="6" w:space="2" w:color="918585"/>
      </w:pBdr>
      <w:tabs>
        <w:tab w:val="left" w:pos="1021"/>
      </w:tabs>
      <w:ind w:firstLine="0"/>
    </w:pPr>
  </w:style>
  <w:style w:type="paragraph" w:customStyle="1" w:styleId="Warning">
    <w:name w:val="Warning"/>
    <w:basedOn w:val="BodyText"/>
    <w:rsid w:val="00695C48"/>
    <w:pPr>
      <w:shd w:val="clear" w:color="auto" w:fill="D9D9D9"/>
      <w:tabs>
        <w:tab w:val="left" w:pos="992"/>
      </w:tabs>
      <w:ind w:left="119" w:right="119"/>
    </w:pPr>
    <w:rPr>
      <w:sz w:val="20"/>
    </w:rPr>
  </w:style>
  <w:style w:type="paragraph" w:customStyle="1" w:styleId="MarginIcons">
    <w:name w:val="Margin Icons"/>
    <w:basedOn w:val="BodyText"/>
    <w:rsid w:val="00695C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5C48"/>
    <w:rPr>
      <w:rFonts w:ascii="Courier New" w:hAnsi="Courier New"/>
    </w:rPr>
  </w:style>
  <w:style w:type="paragraph" w:customStyle="1" w:styleId="NoteBullet">
    <w:name w:val="Note Bullet"/>
    <w:basedOn w:val="Note"/>
    <w:rsid w:val="00695C48"/>
    <w:pPr>
      <w:tabs>
        <w:tab w:val="clear" w:pos="680"/>
      </w:tabs>
      <w:spacing w:before="60" w:after="60"/>
    </w:pPr>
  </w:style>
  <w:style w:type="paragraph" w:customStyle="1" w:styleId="SubHeading2">
    <w:name w:val="SubHeading2"/>
    <w:basedOn w:val="HeadingBase"/>
    <w:rsid w:val="00695C48"/>
    <w:pPr>
      <w:spacing w:before="240" w:after="60"/>
    </w:pPr>
    <w:rPr>
      <w:sz w:val="20"/>
    </w:rPr>
  </w:style>
  <w:style w:type="paragraph" w:customStyle="1" w:styleId="SubHeading1">
    <w:name w:val="SubHeading1"/>
    <w:basedOn w:val="HeadingBase"/>
    <w:rsid w:val="00695C48"/>
    <w:pPr>
      <w:spacing w:before="240" w:after="60"/>
    </w:pPr>
    <w:rPr>
      <w:color w:val="918585"/>
      <w:sz w:val="22"/>
    </w:rPr>
  </w:style>
  <w:style w:type="paragraph" w:customStyle="1" w:styleId="SideHeading">
    <w:name w:val="Side Heading"/>
    <w:basedOn w:val="HeadingBase"/>
    <w:rsid w:val="00695C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5C48"/>
    <w:pPr>
      <w:tabs>
        <w:tab w:val="num" w:pos="360"/>
      </w:tabs>
    </w:pPr>
  </w:style>
  <w:style w:type="paragraph" w:styleId="PlainText">
    <w:name w:val="Plain Text"/>
    <w:basedOn w:val="Normal"/>
    <w:link w:val="PlainTextChar"/>
    <w:rsid w:val="00695C48"/>
    <w:rPr>
      <w:sz w:val="20"/>
    </w:rPr>
  </w:style>
  <w:style w:type="character" w:customStyle="1" w:styleId="PlainTextChar">
    <w:name w:val="Plain Text Char"/>
    <w:basedOn w:val="DefaultParagraphFont"/>
    <w:link w:val="PlainText"/>
    <w:rsid w:val="00695C48"/>
    <w:rPr>
      <w:rFonts w:ascii="Courier New" w:eastAsia="Times New Roman" w:hAnsi="Courier New" w:cs="Times New Roman"/>
      <w:sz w:val="20"/>
      <w:szCs w:val="20"/>
      <w:lang w:eastAsia="en-US"/>
    </w:rPr>
  </w:style>
  <w:style w:type="character" w:customStyle="1" w:styleId="MenuOption">
    <w:name w:val="Menu Option"/>
    <w:basedOn w:val="DefaultParagraphFont"/>
    <w:rsid w:val="00695C48"/>
    <w:rPr>
      <w:b/>
      <w:smallCaps/>
    </w:rPr>
  </w:style>
  <w:style w:type="paragraph" w:customStyle="1" w:styleId="TableListNumber">
    <w:name w:val="Table List Number"/>
    <w:basedOn w:val="ListNumber"/>
    <w:rsid w:val="00695C48"/>
    <w:pPr>
      <w:numPr>
        <w:numId w:val="0"/>
      </w:numPr>
    </w:pPr>
  </w:style>
  <w:style w:type="paragraph" w:styleId="TOC4">
    <w:name w:val="toc 4"/>
    <w:basedOn w:val="TOCBase"/>
    <w:next w:val="Normal"/>
    <w:semiHidden/>
    <w:rsid w:val="00695C48"/>
    <w:pPr>
      <w:tabs>
        <w:tab w:val="right" w:leader="dot" w:pos="9071"/>
      </w:tabs>
      <w:ind w:left="1701"/>
    </w:pPr>
  </w:style>
  <w:style w:type="paragraph" w:customStyle="1" w:styleId="ListAlpha">
    <w:name w:val="List Alpha"/>
    <w:basedOn w:val="List"/>
    <w:rsid w:val="00695C48"/>
    <w:pPr>
      <w:numPr>
        <w:numId w:val="9"/>
      </w:numPr>
    </w:pPr>
  </w:style>
  <w:style w:type="paragraph" w:customStyle="1" w:styleId="ListAlpha2">
    <w:name w:val="List Alpha 2"/>
    <w:basedOn w:val="List2"/>
    <w:rsid w:val="00695C48"/>
    <w:pPr>
      <w:numPr>
        <w:numId w:val="8"/>
      </w:numPr>
    </w:pPr>
  </w:style>
  <w:style w:type="paragraph" w:styleId="List2">
    <w:name w:val="List 2"/>
    <w:basedOn w:val="BodyText"/>
    <w:rsid w:val="00695C48"/>
    <w:pPr>
      <w:tabs>
        <w:tab w:val="left" w:pos="680"/>
      </w:tabs>
      <w:spacing w:before="60" w:after="60"/>
      <w:ind w:left="680" w:hanging="340"/>
    </w:pPr>
  </w:style>
  <w:style w:type="paragraph" w:styleId="List3">
    <w:name w:val="List 3"/>
    <w:basedOn w:val="BodyText"/>
    <w:rsid w:val="00695C48"/>
    <w:pPr>
      <w:tabs>
        <w:tab w:val="left" w:pos="1021"/>
      </w:tabs>
      <w:spacing w:before="60" w:after="60"/>
      <w:ind w:left="1020" w:hanging="340"/>
    </w:pPr>
  </w:style>
  <w:style w:type="paragraph" w:styleId="List4">
    <w:name w:val="List 4"/>
    <w:basedOn w:val="BodyText"/>
    <w:rsid w:val="00695C48"/>
    <w:pPr>
      <w:tabs>
        <w:tab w:val="left" w:pos="1361"/>
      </w:tabs>
      <w:spacing w:before="60" w:after="60"/>
      <w:ind w:left="1361" w:hanging="340"/>
    </w:pPr>
  </w:style>
  <w:style w:type="paragraph" w:styleId="List5">
    <w:name w:val="List 5"/>
    <w:basedOn w:val="BodyText"/>
    <w:rsid w:val="00695C48"/>
    <w:pPr>
      <w:tabs>
        <w:tab w:val="left" w:pos="1701"/>
      </w:tabs>
      <w:spacing w:before="60" w:after="60"/>
      <w:ind w:left="1701" w:hanging="340"/>
    </w:pPr>
  </w:style>
  <w:style w:type="paragraph" w:styleId="ListBullet3">
    <w:name w:val="List Bullet 3"/>
    <w:basedOn w:val="List3"/>
    <w:rsid w:val="00695C48"/>
    <w:pPr>
      <w:numPr>
        <w:numId w:val="14"/>
      </w:numPr>
      <w:tabs>
        <w:tab w:val="clear" w:pos="1021"/>
      </w:tabs>
      <w:ind w:left="1037" w:hanging="357"/>
    </w:pPr>
  </w:style>
  <w:style w:type="paragraph" w:styleId="ListBullet4">
    <w:name w:val="List Bullet 4"/>
    <w:basedOn w:val="List4"/>
    <w:rsid w:val="00695C48"/>
    <w:pPr>
      <w:numPr>
        <w:numId w:val="3"/>
      </w:numPr>
      <w:tabs>
        <w:tab w:val="clear" w:pos="1361"/>
      </w:tabs>
    </w:pPr>
  </w:style>
  <w:style w:type="paragraph" w:styleId="ListBullet5">
    <w:name w:val="List Bullet 5"/>
    <w:basedOn w:val="List5"/>
    <w:rsid w:val="00695C48"/>
    <w:pPr>
      <w:numPr>
        <w:numId w:val="4"/>
      </w:numPr>
    </w:pPr>
  </w:style>
  <w:style w:type="paragraph" w:styleId="ListContinue2">
    <w:name w:val="List Continue 2"/>
    <w:basedOn w:val="List2"/>
    <w:rsid w:val="00695C48"/>
    <w:pPr>
      <w:ind w:firstLine="0"/>
    </w:pPr>
  </w:style>
  <w:style w:type="paragraph" w:styleId="ListContinue3">
    <w:name w:val="List Continue 3"/>
    <w:basedOn w:val="List3"/>
    <w:rsid w:val="00695C48"/>
    <w:pPr>
      <w:ind w:left="1021" w:firstLine="0"/>
    </w:pPr>
  </w:style>
  <w:style w:type="paragraph" w:styleId="ListContinue4">
    <w:name w:val="List Continue 4"/>
    <w:basedOn w:val="List4"/>
    <w:rsid w:val="00695C48"/>
    <w:pPr>
      <w:ind w:firstLine="0"/>
    </w:pPr>
  </w:style>
  <w:style w:type="paragraph" w:styleId="ListContinue5">
    <w:name w:val="List Continue 5"/>
    <w:basedOn w:val="List5"/>
    <w:rsid w:val="00695C48"/>
    <w:pPr>
      <w:ind w:firstLine="0"/>
    </w:pPr>
  </w:style>
  <w:style w:type="paragraph" w:styleId="ListNumber3">
    <w:name w:val="List Number 3"/>
    <w:basedOn w:val="List3"/>
    <w:rsid w:val="00695C48"/>
    <w:pPr>
      <w:numPr>
        <w:numId w:val="5"/>
      </w:numPr>
    </w:pPr>
  </w:style>
  <w:style w:type="paragraph" w:styleId="ListNumber4">
    <w:name w:val="List Number 4"/>
    <w:basedOn w:val="List4"/>
    <w:rsid w:val="00695C48"/>
    <w:pPr>
      <w:numPr>
        <w:numId w:val="6"/>
      </w:numPr>
    </w:pPr>
  </w:style>
  <w:style w:type="paragraph" w:styleId="ListNumber5">
    <w:name w:val="List Number 5"/>
    <w:basedOn w:val="List5"/>
    <w:rsid w:val="00695C48"/>
    <w:pPr>
      <w:numPr>
        <w:numId w:val="7"/>
      </w:numPr>
    </w:pPr>
  </w:style>
  <w:style w:type="paragraph" w:styleId="BlockText">
    <w:name w:val="Block Text"/>
    <w:basedOn w:val="Normal"/>
    <w:rsid w:val="00695C48"/>
    <w:pPr>
      <w:spacing w:after="120"/>
      <w:ind w:left="1440" w:right="1440"/>
    </w:pPr>
  </w:style>
  <w:style w:type="character" w:customStyle="1" w:styleId="Subscript">
    <w:name w:val="Subscript"/>
    <w:basedOn w:val="DefaultParagraphFont"/>
    <w:rsid w:val="00695C48"/>
    <w:rPr>
      <w:sz w:val="16"/>
      <w:vertAlign w:val="subscript"/>
    </w:rPr>
  </w:style>
  <w:style w:type="character" w:customStyle="1" w:styleId="Superscript">
    <w:name w:val="Superscript"/>
    <w:basedOn w:val="DefaultParagraphFont"/>
    <w:rsid w:val="00695C48"/>
    <w:rPr>
      <w:sz w:val="16"/>
      <w:vertAlign w:val="superscript"/>
    </w:rPr>
  </w:style>
  <w:style w:type="character" w:customStyle="1" w:styleId="Symbols">
    <w:name w:val="Symbols"/>
    <w:basedOn w:val="DefaultParagraphFont"/>
    <w:rsid w:val="00695C48"/>
    <w:rPr>
      <w:rFonts w:ascii="Symbol" w:hAnsi="Symbol"/>
    </w:rPr>
  </w:style>
  <w:style w:type="character" w:customStyle="1" w:styleId="MenuOptions">
    <w:name w:val="Menu Options"/>
    <w:basedOn w:val="DefaultParagraphFont"/>
    <w:rsid w:val="00695C48"/>
    <w:rPr>
      <w:rFonts w:ascii="Arial Narrow" w:hAnsi="Arial Narrow"/>
      <w:smallCaps/>
    </w:rPr>
  </w:style>
  <w:style w:type="character" w:customStyle="1" w:styleId="Buttons">
    <w:name w:val="Buttons"/>
    <w:basedOn w:val="DefaultParagraphFont"/>
    <w:rsid w:val="00695C48"/>
    <w:rPr>
      <w:b/>
    </w:rPr>
  </w:style>
  <w:style w:type="character" w:customStyle="1" w:styleId="Underlined">
    <w:name w:val="Underlined"/>
    <w:basedOn w:val="DefaultParagraphFont"/>
    <w:rsid w:val="00695C48"/>
    <w:rPr>
      <w:u w:val="single"/>
    </w:rPr>
  </w:style>
  <w:style w:type="paragraph" w:customStyle="1" w:styleId="TableBodyTextRight">
    <w:name w:val="Table Body Text Right"/>
    <w:basedOn w:val="TableBodyText"/>
    <w:rsid w:val="00695C48"/>
    <w:pPr>
      <w:widowControl w:val="0"/>
      <w:autoSpaceDE w:val="0"/>
      <w:autoSpaceDN w:val="0"/>
      <w:adjustRightInd w:val="0"/>
      <w:jc w:val="right"/>
    </w:pPr>
    <w:rPr>
      <w:rFonts w:cs="Arial"/>
      <w:szCs w:val="18"/>
    </w:rPr>
  </w:style>
  <w:style w:type="paragraph" w:customStyle="1" w:styleId="CopyrightText">
    <w:name w:val="Copyright Text"/>
    <w:basedOn w:val="BodyText"/>
    <w:rsid w:val="00695C48"/>
    <w:rPr>
      <w:sz w:val="18"/>
    </w:rPr>
  </w:style>
  <w:style w:type="paragraph" w:customStyle="1" w:styleId="BodySmallRight">
    <w:name w:val="Body Small Right"/>
    <w:basedOn w:val="BodyTextRight"/>
    <w:rsid w:val="00695C48"/>
    <w:rPr>
      <w:sz w:val="18"/>
      <w:szCs w:val="18"/>
    </w:rPr>
  </w:style>
  <w:style w:type="paragraph" w:customStyle="1" w:styleId="MarginEdition">
    <w:name w:val="Margin Edition"/>
    <w:basedOn w:val="MarginNote"/>
    <w:rsid w:val="00695C48"/>
    <w:pPr>
      <w:spacing w:before="0" w:after="0"/>
    </w:pPr>
    <w:rPr>
      <w:rFonts w:ascii="Times New Roman" w:hAnsi="Times New Roman"/>
      <w:color w:val="999999"/>
    </w:rPr>
  </w:style>
  <w:style w:type="paragraph" w:customStyle="1" w:styleId="Spacer">
    <w:name w:val="Spacer"/>
    <w:basedOn w:val="Normal"/>
    <w:rsid w:val="00695C48"/>
    <w:rPr>
      <w:sz w:val="2"/>
      <w:szCs w:val="2"/>
    </w:rPr>
  </w:style>
  <w:style w:type="character" w:customStyle="1" w:styleId="Small">
    <w:name w:val="Small"/>
    <w:basedOn w:val="DefaultParagraphFont"/>
    <w:rsid w:val="00695C48"/>
    <w:rPr>
      <w:sz w:val="16"/>
    </w:rPr>
  </w:style>
  <w:style w:type="paragraph" w:customStyle="1" w:styleId="WideTable">
    <w:name w:val="Wide Table"/>
    <w:basedOn w:val="Normal"/>
    <w:rsid w:val="00695C48"/>
    <w:pPr>
      <w:ind w:left="-1418"/>
    </w:pPr>
    <w:rPr>
      <w:sz w:val="2"/>
      <w:szCs w:val="2"/>
    </w:rPr>
  </w:style>
  <w:style w:type="character" w:styleId="PageNumber">
    <w:name w:val="page number"/>
    <w:basedOn w:val="DefaultParagraphFont"/>
    <w:rsid w:val="00695C48"/>
  </w:style>
  <w:style w:type="paragraph" w:styleId="Quote">
    <w:name w:val="Quote"/>
    <w:basedOn w:val="Heading1"/>
    <w:link w:val="QuoteChar"/>
    <w:qFormat/>
    <w:rsid w:val="00695C48"/>
    <w:rPr>
      <w:b w:val="0"/>
      <w:sz w:val="72"/>
      <w:szCs w:val="72"/>
      <w:lang w:val="en-NZ"/>
    </w:rPr>
  </w:style>
  <w:style w:type="character" w:customStyle="1" w:styleId="QuoteChar">
    <w:name w:val="Quote Char"/>
    <w:basedOn w:val="DefaultParagraphFont"/>
    <w:link w:val="Quote"/>
    <w:rsid w:val="00695C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5C48"/>
    <w:pPr>
      <w:pageBreakBefore/>
    </w:pPr>
  </w:style>
  <w:style w:type="paragraph" w:customStyle="1" w:styleId="Border">
    <w:name w:val="Border"/>
    <w:basedOn w:val="Normal"/>
    <w:qFormat/>
    <w:rsid w:val="00695C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5C48"/>
    <w:rPr>
      <w:b/>
      <w:bCs/>
      <w:i/>
      <w:iCs/>
      <w:color w:val="auto"/>
    </w:rPr>
  </w:style>
  <w:style w:type="paragraph" w:styleId="IntenseQuote">
    <w:name w:val="Intense Quote"/>
    <w:basedOn w:val="Normal"/>
    <w:next w:val="Normal"/>
    <w:link w:val="IntenseQuoteChar"/>
    <w:uiPriority w:val="30"/>
    <w:qFormat/>
    <w:rsid w:val="00695C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5C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5C48"/>
    <w:rPr>
      <w:smallCaps/>
      <w:color w:val="auto"/>
      <w:u w:val="single"/>
    </w:rPr>
  </w:style>
  <w:style w:type="character" w:styleId="IntenseReference">
    <w:name w:val="Intense Reference"/>
    <w:basedOn w:val="DefaultParagraphFont"/>
    <w:uiPriority w:val="32"/>
    <w:qFormat/>
    <w:rsid w:val="00695C48"/>
    <w:rPr>
      <w:b/>
      <w:bCs/>
      <w:smallCaps/>
      <w:color w:val="auto"/>
      <w:spacing w:val="5"/>
      <w:u w:val="single"/>
    </w:rPr>
  </w:style>
  <w:style w:type="paragraph" w:customStyle="1" w:styleId="2ColumnHeading">
    <w:name w:val="2Column Heading"/>
    <w:basedOn w:val="BodyText"/>
    <w:qFormat/>
    <w:rsid w:val="00695C48"/>
    <w:pPr>
      <w:spacing w:after="60"/>
      <w:ind w:left="-2268"/>
    </w:pPr>
    <w:rPr>
      <w:b/>
    </w:rPr>
  </w:style>
  <w:style w:type="paragraph" w:customStyle="1" w:styleId="Heading1TOC">
    <w:name w:val="Heading1 TOC"/>
    <w:basedOn w:val="Normal"/>
    <w:qFormat/>
    <w:rsid w:val="00695C48"/>
    <w:pPr>
      <w:spacing w:before="240" w:after="120"/>
    </w:pPr>
    <w:rPr>
      <w:rFonts w:ascii="Times New Roman" w:hAnsi="Times New Roman"/>
      <w:b/>
      <w:sz w:val="32"/>
    </w:rPr>
  </w:style>
  <w:style w:type="paragraph" w:customStyle="1" w:styleId="Heading2TOC">
    <w:name w:val="Heading2 TOC"/>
    <w:basedOn w:val="Normal"/>
    <w:qFormat/>
    <w:rsid w:val="00695C48"/>
    <w:pPr>
      <w:spacing w:before="240" w:after="60"/>
    </w:pPr>
    <w:rPr>
      <w:rFonts w:ascii="Times New Roman" w:hAnsi="Times New Roman"/>
      <w:b/>
      <w:sz w:val="28"/>
    </w:rPr>
  </w:style>
  <w:style w:type="character" w:customStyle="1" w:styleId="Underline">
    <w:name w:val="Underline"/>
    <w:basedOn w:val="DefaultParagraphFont"/>
    <w:qFormat/>
    <w:rsid w:val="00695C48"/>
    <w:rPr>
      <w:u w:val="single"/>
    </w:rPr>
  </w:style>
  <w:style w:type="character" w:customStyle="1" w:styleId="BoldandItalics">
    <w:name w:val="Bold and Italics"/>
    <w:qFormat/>
    <w:rsid w:val="00695C48"/>
    <w:rPr>
      <w:b/>
      <w:i/>
      <w:u w:val="none"/>
    </w:rPr>
  </w:style>
  <w:style w:type="paragraph" w:styleId="BalloonText">
    <w:name w:val="Balloon Text"/>
    <w:basedOn w:val="Normal"/>
    <w:link w:val="BalloonTextChar"/>
    <w:rsid w:val="00695C48"/>
    <w:rPr>
      <w:rFonts w:ascii="Tahoma" w:hAnsi="Tahoma" w:cs="Tahoma"/>
      <w:sz w:val="16"/>
      <w:szCs w:val="16"/>
    </w:rPr>
  </w:style>
  <w:style w:type="character" w:customStyle="1" w:styleId="BalloonTextChar">
    <w:name w:val="Balloon Text Char"/>
    <w:basedOn w:val="DefaultParagraphFont"/>
    <w:link w:val="BalloonText"/>
    <w:rsid w:val="00695C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5C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5C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5C48"/>
    <w:rPr>
      <w:b/>
      <w:color w:val="660033"/>
      <w:spacing w:val="0"/>
    </w:rPr>
  </w:style>
  <w:style w:type="paragraph" w:customStyle="1" w:styleId="Nameditemlist">
    <w:name w:val="Named item list"/>
    <w:basedOn w:val="BodyText"/>
    <w:qFormat/>
    <w:rsid w:val="00695C48"/>
    <w:pPr>
      <w:tabs>
        <w:tab w:val="left" w:pos="2835"/>
      </w:tabs>
      <w:ind w:left="2835" w:hanging="2835"/>
    </w:pPr>
  </w:style>
  <w:style w:type="paragraph" w:customStyle="1" w:styleId="BodyTextnopadding">
    <w:name w:val="Body Text no padding"/>
    <w:basedOn w:val="BodyText"/>
    <w:qFormat/>
    <w:rsid w:val="00695C48"/>
    <w:pPr>
      <w:spacing w:before="0" w:after="0"/>
    </w:pPr>
  </w:style>
  <w:style w:type="paragraph" w:customStyle="1" w:styleId="BodyTextBold">
    <w:name w:val="Body Text Bold"/>
    <w:basedOn w:val="BodyText"/>
    <w:qFormat/>
    <w:rsid w:val="00695C48"/>
    <w:rPr>
      <w:b/>
    </w:rPr>
  </w:style>
  <w:style w:type="character" w:styleId="Hyperlink">
    <w:name w:val="Hyperlink"/>
    <w:basedOn w:val="DefaultParagraphFont"/>
    <w:uiPriority w:val="99"/>
    <w:unhideWhenUsed/>
    <w:rsid w:val="00444B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1080</Words>
  <Characters>7261</Characters>
  <Application>Microsoft Office Word</Application>
  <DocSecurity>0</DocSecurity>
  <Lines>259</Lines>
  <Paragraphs>143</Paragraphs>
  <ScaleCrop>false</ScaleCrop>
  <Company>Author-it Software Corporation Ltd.</Company>
  <LinksUpToDate>false</LinksUpToDate>
  <CharactersWithSpaces>8198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MEM18072 Manufacture fluid conveying conductor assemblies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2025-03-01T09:21:00Z</dcterms:created>
  <dcterms:modified xsi:type="dcterms:W3CDTF">2025-03-01T09:21:00Z</dcterms:modified>
</cp:coreProperties>
</file>