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20E" w:rsidP="00087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MEM18071 Connect and disconnect fluid conveying system components</w:t>
      </w:r>
      <w:r>
        <w:fldChar w:fldCharType="end"/>
      </w:r>
    </w:p>
    <w:p w:rsidR="0008720E" w:rsidP="0008720E">
      <w:pPr>
        <w:pStyle w:val="Version"/>
        <w:sectPr w:rsidSect="001813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35E" w:rsidP="0018135E">
      <w:pPr>
        <w:pStyle w:val="SuperHeading"/>
      </w:pPr>
      <w:r w:rsidRPr="0018135E">
        <w:t>MEM18071 Conn</w:t>
      </w:r>
      <w:r w:rsidRPr="0018135E">
        <w:t>ect and disconnect fluid conveying system components</w:t>
      </w:r>
    </w:p>
    <w:p w:rsidR="00000000" w:rsidRPr="0018135E" w:rsidP="0018135E">
      <w:pPr>
        <w:pStyle w:val="Heading1"/>
      </w:pPr>
      <w:bookmarkStart w:id="1" w:name="O_941579"/>
      <w:bookmarkEnd w:id="1"/>
      <w:r w:rsidRPr="0018135E">
        <w:t>Modification History</w:t>
      </w:r>
    </w:p>
    <w:p w:rsidR="00000000" w:rsidRPr="0018135E" w:rsidP="0008720E">
      <w:pPr>
        <w:pStyle w:val="BodyText"/>
      </w:pPr>
      <w:r w:rsidRPr="0018135E">
        <w:t>Release 1. Supersedes and is equivalent to MEM18071B Connect/disconnect fluid conveying system components</w:t>
      </w:r>
    </w:p>
    <w:p w:rsidR="00000000" w:rsidRPr="0018135E" w:rsidP="0018135E">
      <w:pPr>
        <w:pStyle w:val="Heading1"/>
      </w:pPr>
      <w:bookmarkStart w:id="2" w:name="O_941587"/>
      <w:bookmarkEnd w:id="2"/>
      <w:r w:rsidRPr="0018135E">
        <w:t>Application</w:t>
      </w:r>
    </w:p>
    <w:p w:rsidR="00000000" w:rsidRPr="0018135E" w:rsidP="0008720E">
      <w:pPr>
        <w:pStyle w:val="BodyText"/>
      </w:pPr>
      <w:r w:rsidRPr="0018135E">
        <w:t>This unit of competency defines the skills and knowledge required to safely remove and replace a range of fluid conveying components and assemblies, and inspect/test fluid conveying assemblies.</w:t>
      </w:r>
    </w:p>
    <w:p w:rsidR="00000000" w:rsidRPr="0018135E" w:rsidP="0008720E">
      <w:pPr>
        <w:pStyle w:val="BodyText"/>
      </w:pPr>
      <w:r w:rsidRPr="0018135E">
        <w:t>It applies to repairs and replacement to pressure and suction</w:t>
      </w:r>
      <w:r w:rsidRPr="0018135E">
        <w:t xml:space="preserve"> systems on fixed and mobile plant/equipment, including marine, heavy plant and manufacturing plant applications with system pressures range of 10.5 MPa to 35 MPa, ranging up to 70 MPa.</w:t>
      </w:r>
    </w:p>
    <w:p w:rsidR="00000000" w:rsidRPr="0018135E" w:rsidP="0008720E">
      <w:pPr>
        <w:pStyle w:val="BodyText"/>
      </w:pPr>
      <w:r w:rsidRPr="0018135E">
        <w:t xml:space="preserve">Where interpretation of technical drawings is required unit MEM09002 </w:t>
      </w:r>
      <w:r w:rsidRPr="0018135E">
        <w:t>Interpret technical drawing should also be selected.</w:t>
      </w:r>
    </w:p>
    <w:p w:rsidR="00000000" w:rsidRPr="0018135E" w:rsidP="0008720E">
      <w:pPr>
        <w:pStyle w:val="BodyText"/>
      </w:pPr>
      <w:r w:rsidRPr="0018135E">
        <w:t>Where the selection and use of engineering measurement is required unit MEM12023 Perform engineering measurements should also be selected.</w:t>
      </w:r>
    </w:p>
    <w:p w:rsidR="00000000" w:rsidRPr="0018135E" w:rsidP="0008720E">
      <w:pPr>
        <w:pStyle w:val="BodyText"/>
      </w:pPr>
      <w:r w:rsidRPr="0018135E">
        <w:t>This unit should not be selected when unit MEM18055 Dismantle,</w:t>
      </w:r>
      <w:r w:rsidRPr="0018135E">
        <w:t xml:space="preserve"> replace and assemble engineering components or unit MEM27017 Maintain, fault find and rectify hydraulic systems for mobile plant has already been selected.</w:t>
      </w:r>
    </w:p>
    <w:p w:rsidR="00000000" w:rsidRPr="0018135E" w:rsidP="0008720E">
      <w:pPr>
        <w:pStyle w:val="BodyText"/>
      </w:pPr>
      <w:r w:rsidRPr="0018135E">
        <w:t>No licensing, legislative or certification requirements apply to this unit at the time of publicat</w:t>
      </w:r>
      <w:r w:rsidRPr="0018135E">
        <w:t>ion.</w:t>
      </w:r>
    </w:p>
    <w:p w:rsidR="00000000" w:rsidRPr="0018135E" w:rsidP="0018135E">
      <w:pPr>
        <w:pStyle w:val="BodyText"/>
      </w:pPr>
      <w:r w:rsidRPr="0018135E">
        <w:rPr>
          <w:rStyle w:val="SpecialBold"/>
        </w:rPr>
        <w:t>Band</w:t>
      </w:r>
      <w:r w:rsidRPr="0018135E">
        <w:t>:</w:t>
      </w:r>
      <w:r w:rsidRPr="0018135E">
        <w:tab/>
      </w:r>
      <w:r w:rsidRPr="0018135E">
        <w:rPr>
          <w:rStyle w:val="SpecialBold"/>
        </w:rPr>
        <w:t>A</w:t>
      </w:r>
    </w:p>
    <w:p w:rsidR="00000000" w:rsidRPr="0018135E" w:rsidP="0018135E">
      <w:pPr>
        <w:pStyle w:val="BodyText"/>
      </w:pPr>
      <w:r w:rsidRPr="0018135E">
        <w:rPr>
          <w:rStyle w:val="SpecialBold"/>
        </w:rPr>
        <w:t>Unit Weight</w:t>
      </w:r>
      <w:r w:rsidRPr="0018135E">
        <w:t>:</w:t>
      </w:r>
      <w:r w:rsidRPr="0018135E">
        <w:tab/>
      </w:r>
      <w:r w:rsidRPr="0018135E">
        <w:rPr>
          <w:rStyle w:val="SpecialBold"/>
        </w:rPr>
        <w:t>2</w:t>
      </w:r>
    </w:p>
    <w:p w:rsidR="00000000" w:rsidRPr="0018135E" w:rsidP="0018135E">
      <w:pPr>
        <w:pStyle w:val="AllowPageBreak"/>
      </w:pPr>
    </w:p>
    <w:p w:rsidR="00000000" w:rsidRPr="0018135E" w:rsidP="0018135E">
      <w:pPr>
        <w:pStyle w:val="Heading1"/>
      </w:pPr>
      <w:bookmarkStart w:id="3" w:name="O_941586"/>
      <w:bookmarkEnd w:id="3"/>
      <w:r w:rsidRPr="0018135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Undertake manual handling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MEM13003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Work safely with industrial chemicals and materials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Work safely and effectively in manufacturing and engineering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Organise and communicate information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5E" w:rsidP="0018135E">
            <w:pPr>
              <w:pStyle w:val="BodyText"/>
            </w:pPr>
            <w:r w:rsidRPr="0018135E">
              <w:t>Use hand tools</w:t>
            </w:r>
          </w:p>
        </w:tc>
      </w:tr>
    </w:tbl>
    <w:p w:rsidR="00000000" w:rsidRPr="0018135E" w:rsidP="0018135E">
      <w:pPr>
        <w:pStyle w:val="BodyText"/>
      </w:pPr>
    </w:p>
    <w:p w:rsidR="00000000" w:rsidRPr="0018135E" w:rsidP="0018135E">
      <w:pPr>
        <w:pStyle w:val="AllowPageBreak"/>
      </w:pPr>
    </w:p>
    <w:p w:rsidR="00000000" w:rsidRPr="0018135E" w:rsidP="0018135E">
      <w:pPr>
        <w:pStyle w:val="Heading1"/>
      </w:pPr>
      <w:bookmarkStart w:id="4" w:name="O_941585"/>
      <w:bookmarkEnd w:id="4"/>
      <w:r w:rsidRPr="0018135E">
        <w:t>Competency Field</w:t>
      </w:r>
    </w:p>
    <w:p w:rsidR="00000000" w:rsidRPr="0018135E" w:rsidP="0008720E">
      <w:pPr>
        <w:pStyle w:val="BodyText"/>
      </w:pPr>
      <w:r w:rsidRPr="0018135E">
        <w:t>Maintenance and diagnostics</w:t>
      </w:r>
    </w:p>
    <w:p w:rsidR="00000000" w:rsidRPr="0018135E" w:rsidP="0018135E">
      <w:pPr>
        <w:pStyle w:val="Heading1"/>
      </w:pPr>
      <w:bookmarkStart w:id="5" w:name="O_941583"/>
      <w:bookmarkEnd w:id="5"/>
      <w:r w:rsidRPr="001813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Performance criteria describe the pe</w:t>
            </w:r>
            <w:r w:rsidRPr="0018135E">
              <w:t>rformance needed to demonstrate achievement of the element.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5E" w:rsidP="0018135E">
            <w:pPr>
              <w:pStyle w:val="BodyText"/>
            </w:pPr>
            <w:r w:rsidRPr="0018135E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Follow standard operating procedures (SOPs)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Comply with work health and safety (WHS) requirements at all times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Use appropriate personal protective equipment (PPE) in accordance with SOPs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Identify job requirements from specifications, job sheets or work instructions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5E" w:rsidP="0018135E">
            <w:pPr>
              <w:pStyle w:val="BodyText"/>
            </w:pPr>
            <w:r w:rsidRPr="0018135E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rPr>
                <w:rStyle w:val="SpecialBold"/>
              </w:rPr>
              <w:t>Disconnect fluid conveying components and assemblies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Carry out safety/risk assessment, identify potentially hazardous situations/conditions and position safety devices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 xml:space="preserve">Note, record and label lay out of fluid conveying conductor 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 xml:space="preserve">Identify faulty component/assembly using specific troubleshooting </w:t>
            </w:r>
            <w:r w:rsidRPr="0018135E">
              <w:t>procedures, reference documents and fluid power principles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Disconnect and remove fluid conveying components and assemblies using appropriate tools, equipment, procedures and techniques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Seal open system adequately with standard or special purpose sealing materials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5E" w:rsidP="0018135E">
            <w:pPr>
              <w:pStyle w:val="BodyText"/>
            </w:pPr>
            <w:r w:rsidRPr="0018135E">
              <w:t>3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rPr>
                <w:rStyle w:val="SpecialBold"/>
              </w:rPr>
              <w:t>Obtain replacement parts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Select replacement parts from manufacturer catalogues and other relevant reference sources according to international standards and specific</w:t>
            </w:r>
            <w:r w:rsidRPr="0018135E">
              <w:t>ations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5E" w:rsidP="0018135E">
            <w:pPr>
              <w:pStyle w:val="BodyText"/>
            </w:pPr>
            <w:r w:rsidRPr="0018135E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rPr>
                <w:rStyle w:val="SpecialBold"/>
              </w:rPr>
              <w:t>Test and store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Pressure test fluid conveying assemblies and individual components according to industry and manufacturer standards and using fluid power principles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 xml:space="preserve">Assess and note condition 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Clean, seal and store components/assemblies according to industry and manufacturer standards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5E" w:rsidP="0018135E">
            <w:pPr>
              <w:pStyle w:val="BodyText"/>
            </w:pPr>
            <w:r w:rsidRPr="0018135E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rPr>
                <w:rStyle w:val="SpecialBold"/>
              </w:rPr>
              <w:t>Connect fluid conveying components and assemblies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Check connections and prepare for reconnection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Connect components and assemblies to equipment to specifications using appropriate techniques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Remove tagged out equipment, signage and safety blocking devices according to SOPs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 xml:space="preserve">Check equipment and fluid conveying systems and functional test, </w:t>
            </w:r>
            <w:r w:rsidRPr="0018135E">
              <w:t>including in-situ and high pressure test rigs for correct operation according to manufacturer and industry standards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5E" w:rsidP="0018135E">
            <w:pPr>
              <w:pStyle w:val="BodyText"/>
            </w:pPr>
            <w:r w:rsidRPr="0018135E">
              <w:t>6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rPr>
                <w:rStyle w:val="SpecialBold"/>
              </w:rPr>
              <w:t>Report results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6.1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Follow reporting and certification procedures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6.2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5E" w:rsidP="0018135E">
            <w:pPr>
              <w:pStyle w:val="BodyText"/>
            </w:pPr>
            <w:r w:rsidRPr="0018135E">
              <w:t>Complete all relevant information</w:t>
            </w:r>
          </w:p>
        </w:tc>
      </w:tr>
    </w:tbl>
    <w:p w:rsidR="00000000" w:rsidRPr="0018135E" w:rsidP="0018135E">
      <w:pPr>
        <w:pStyle w:val="BodyText"/>
      </w:pPr>
    </w:p>
    <w:p w:rsidR="00000000" w:rsidRPr="0018135E" w:rsidP="0018135E">
      <w:pPr>
        <w:pStyle w:val="AllowPageBreak"/>
      </w:pPr>
    </w:p>
    <w:p w:rsidR="00000000" w:rsidRPr="0018135E" w:rsidP="0018135E">
      <w:pPr>
        <w:pStyle w:val="Heading1"/>
      </w:pPr>
      <w:bookmarkStart w:id="6" w:name="O_941582"/>
      <w:bookmarkEnd w:id="6"/>
      <w:r w:rsidRPr="0018135E">
        <w:t>Foundation Skills</w:t>
      </w:r>
    </w:p>
    <w:p w:rsidR="00000000" w:rsidRPr="0018135E" w:rsidP="0008720E">
      <w:pPr>
        <w:pStyle w:val="BodyText"/>
      </w:pPr>
      <w:r w:rsidRPr="0018135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8135E" w:rsidP="0008720E">
      <w:pPr>
        <w:pStyle w:val="BodyText"/>
      </w:pPr>
      <w:r w:rsidRPr="0018135E">
        <w:t>Foundation skills essential to performance are explicit in the per</w:t>
      </w:r>
      <w:r w:rsidRPr="0018135E">
        <w:t>formance criteria of this unit of competency.</w:t>
      </w:r>
    </w:p>
    <w:p w:rsidR="00000000" w:rsidRPr="0018135E" w:rsidP="0018135E">
      <w:pPr>
        <w:pStyle w:val="Heading1"/>
      </w:pPr>
      <w:bookmarkStart w:id="7" w:name="O_941581"/>
      <w:bookmarkEnd w:id="7"/>
      <w:r w:rsidRPr="0018135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t>This field allows for different work environments and conditions that may affect performance. Essential operating conditions that may be present (depending on the work situa</w:t>
            </w:r>
            <w:r w:rsidRPr="0018135E">
              <w:t>tion, needs of the candidate, accessibility of the item, and local industry and regional contexts) are included.</w:t>
            </w: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rPr>
                <w:rStyle w:val="SpecialBold"/>
              </w:rPr>
              <w:t>Fluid conveying applications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5E" w:rsidP="0018135E">
            <w:pPr>
              <w:pStyle w:val="ListBullet"/>
            </w:pPr>
            <w:r w:rsidRPr="0018135E">
              <w:t>hydraulic</w:t>
            </w:r>
          </w:p>
          <w:p w:rsidR="00000000" w:rsidRPr="0018135E" w:rsidP="0018135E">
            <w:pPr>
              <w:pStyle w:val="ListBullet"/>
            </w:pPr>
            <w:r w:rsidRPr="0018135E">
              <w:t>pneumatic</w:t>
            </w:r>
          </w:p>
          <w:p w:rsidR="00000000" w:rsidRPr="0018135E" w:rsidP="0018135E">
            <w:pPr>
              <w:pStyle w:val="ListBullet"/>
            </w:pPr>
            <w:r w:rsidRPr="0018135E">
              <w:t>water</w:t>
            </w:r>
          </w:p>
          <w:p w:rsidR="00000000" w:rsidRPr="0018135E" w:rsidP="0018135E">
            <w:pPr>
              <w:pStyle w:val="ListBullet"/>
            </w:pPr>
            <w:r w:rsidRPr="0018135E">
              <w:t>gas</w:t>
            </w:r>
          </w:p>
          <w:p w:rsidR="00000000" w:rsidRPr="0018135E" w:rsidP="0018135E">
            <w:pPr>
              <w:pStyle w:val="ListBullet"/>
            </w:pPr>
            <w:r w:rsidRPr="0018135E">
              <w:t>acids/corrosives/alkalines</w:t>
            </w:r>
          </w:p>
          <w:p w:rsidR="00000000" w:rsidRPr="0018135E" w:rsidP="0018135E">
            <w:pPr>
              <w:pStyle w:val="ListBullet"/>
            </w:pPr>
            <w:r w:rsidRPr="0018135E">
              <w:t>abrasives</w:t>
            </w:r>
          </w:p>
          <w:p w:rsidR="00000000" w:rsidRPr="0018135E" w:rsidP="0018135E">
            <w:pPr>
              <w:pStyle w:val="ListBullet"/>
            </w:pPr>
            <w:r w:rsidRPr="0018135E">
              <w:t xml:space="preserve">petroleum </w:t>
            </w:r>
          </w:p>
          <w:p w:rsidR="00000000" w:rsidRPr="0018135E" w:rsidP="0018135E">
            <w:pPr>
              <w:pStyle w:val="ListBullet"/>
            </w:pPr>
            <w:r w:rsidRPr="0018135E">
              <w:t>other dry/wet media</w:t>
            </w:r>
          </w:p>
          <w:p w:rsidR="00000000" w:rsidP="0018135E">
            <w:pPr>
              <w:pStyle w:val="BodyText"/>
              <w:rPr>
                <w:lang w:val="en-NZ"/>
              </w:rPr>
            </w:pP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rPr>
                <w:rStyle w:val="SpecialBold"/>
              </w:rPr>
              <w:t>Potentially hazardous situations</w:t>
            </w:r>
            <w:r w:rsidRPr="0018135E">
              <w:t xml:space="preserve">/ </w:t>
            </w:r>
            <w:r w:rsidRPr="0018135E">
              <w:rPr>
                <w:rStyle w:val="SpecialBold"/>
              </w:rPr>
              <w:t>conditions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5E" w:rsidP="0018135E">
            <w:pPr>
              <w:pStyle w:val="ListBullet"/>
            </w:pPr>
            <w:r w:rsidRPr="0018135E">
              <w:t>accumulated pressure</w:t>
            </w:r>
          </w:p>
          <w:p w:rsidR="00000000" w:rsidRPr="0018135E" w:rsidP="0018135E">
            <w:pPr>
              <w:pStyle w:val="ListBullet"/>
            </w:pPr>
            <w:r w:rsidRPr="0018135E">
              <w:t>contamination</w:t>
            </w:r>
          </w:p>
          <w:p w:rsidR="00000000" w:rsidRPr="0018135E" w:rsidP="0018135E">
            <w:pPr>
              <w:pStyle w:val="ListBullet"/>
            </w:pPr>
            <w:r w:rsidRPr="0018135E">
              <w:t>fluid handling</w:t>
            </w:r>
          </w:p>
          <w:p w:rsidR="00000000" w:rsidP="0018135E">
            <w:pPr>
              <w:pStyle w:val="BodyText"/>
              <w:rPr>
                <w:lang w:val="en-NZ"/>
              </w:rPr>
            </w:pPr>
          </w:p>
        </w:tc>
      </w:tr>
      <w:tr w:rsidTr="00181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5E">
            <w:pPr>
              <w:pStyle w:val="BodyText"/>
              <w:rPr>
                <w:lang w:val="en-NZ"/>
              </w:rPr>
            </w:pPr>
            <w:r w:rsidRPr="0018135E">
              <w:rPr>
                <w:rStyle w:val="SpecialBold"/>
              </w:rPr>
              <w:t>Components and assemblies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5E" w:rsidP="0018135E">
            <w:pPr>
              <w:pStyle w:val="ListBullet"/>
            </w:pPr>
            <w:r w:rsidRPr="0018135E">
              <w:t>high pressure seals</w:t>
            </w:r>
          </w:p>
          <w:p w:rsidR="00000000" w:rsidRPr="0018135E" w:rsidP="0018135E">
            <w:pPr>
              <w:pStyle w:val="ListBullet"/>
            </w:pPr>
            <w:r w:rsidRPr="0018135E">
              <w:t>seats</w:t>
            </w:r>
          </w:p>
          <w:p w:rsidR="00000000" w:rsidRPr="0018135E" w:rsidP="0018135E">
            <w:pPr>
              <w:pStyle w:val="ListBullet"/>
            </w:pPr>
            <w:r w:rsidRPr="0018135E">
              <w:t>hoses</w:t>
            </w:r>
          </w:p>
          <w:p w:rsidR="00000000" w:rsidRPr="0018135E" w:rsidP="0018135E">
            <w:pPr>
              <w:pStyle w:val="ListBullet"/>
            </w:pPr>
            <w:r w:rsidRPr="0018135E">
              <w:t>tubes</w:t>
            </w:r>
          </w:p>
          <w:p w:rsidR="00000000" w:rsidRPr="0018135E" w:rsidP="0018135E">
            <w:pPr>
              <w:pStyle w:val="ListBullet"/>
            </w:pPr>
            <w:r w:rsidRPr="0018135E">
              <w:t>pipes</w:t>
            </w:r>
          </w:p>
          <w:p w:rsidR="00000000" w:rsidRPr="0018135E" w:rsidP="0018135E">
            <w:pPr>
              <w:pStyle w:val="ListBullet"/>
            </w:pPr>
            <w:r w:rsidRPr="0018135E">
              <w:t>fittings</w:t>
            </w:r>
          </w:p>
          <w:p w:rsidR="00000000" w:rsidRPr="0018135E" w:rsidP="0018135E">
            <w:pPr>
              <w:pStyle w:val="ListBullet"/>
            </w:pPr>
            <w:r w:rsidRPr="0018135E">
              <w:t>connectors</w:t>
            </w:r>
          </w:p>
          <w:p w:rsidR="00000000" w:rsidRPr="0018135E" w:rsidP="0018135E">
            <w:pPr>
              <w:pStyle w:val="ListBullet"/>
            </w:pPr>
            <w:r w:rsidRPr="0018135E">
              <w:t>adaptors and anchors</w:t>
            </w:r>
          </w:p>
          <w:p w:rsidR="00000000" w:rsidRPr="0018135E" w:rsidP="0018135E">
            <w:pPr>
              <w:pStyle w:val="ListBullet"/>
            </w:pPr>
            <w:r w:rsidRPr="0018135E">
              <w:t>other associated attachments</w:t>
            </w:r>
          </w:p>
          <w:p w:rsidR="00000000" w:rsidRPr="0018135E" w:rsidP="0018135E">
            <w:pPr>
              <w:pStyle w:val="BodyText"/>
            </w:pPr>
          </w:p>
        </w:tc>
      </w:tr>
    </w:tbl>
    <w:p w:rsidR="00000000" w:rsidRPr="0018135E" w:rsidP="0018135E">
      <w:pPr>
        <w:pStyle w:val="BodyText"/>
      </w:pPr>
    </w:p>
    <w:p w:rsidR="00000000" w:rsidRPr="0018135E" w:rsidP="0018135E">
      <w:pPr>
        <w:pStyle w:val="AllowPageBreak"/>
      </w:pPr>
    </w:p>
    <w:p w:rsidR="00000000" w:rsidRPr="0018135E" w:rsidP="0018135E">
      <w:pPr>
        <w:pStyle w:val="Heading1"/>
      </w:pPr>
      <w:bookmarkStart w:id="8" w:name="O_941580"/>
      <w:bookmarkEnd w:id="8"/>
      <w:r w:rsidRPr="0018135E">
        <w:t>Unit Mapping Information</w:t>
      </w:r>
    </w:p>
    <w:p w:rsidR="00000000" w:rsidRPr="0018135E" w:rsidP="0008720E">
      <w:pPr>
        <w:pStyle w:val="BodyText"/>
      </w:pPr>
      <w:r w:rsidRPr="0018135E">
        <w:t>Release 1. Supersedes and is equivalent to MEM18071B Connect/disconnect fluid conveying system components</w:t>
      </w:r>
    </w:p>
    <w:p w:rsidR="00000000" w:rsidRPr="0018135E" w:rsidP="0018135E">
      <w:pPr>
        <w:pStyle w:val="Heading1"/>
      </w:pPr>
      <w:bookmarkStart w:id="9" w:name="O_941573"/>
      <w:bookmarkEnd w:id="9"/>
      <w:r w:rsidRPr="0018135E">
        <w:t>Links</w:t>
      </w:r>
    </w:p>
    <w:p w:rsidR="00000000" w:rsidRPr="0018135E" w:rsidP="0008720E">
      <w:pPr>
        <w:pStyle w:val="BodyText"/>
      </w:pPr>
      <w:r w:rsidRPr="001813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96FB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8135E" w:rsidP="0018135E"/>
    <w:sectPr w:rsidSect="001813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5E" w:rsidRPr="0008720E" w:rsidP="00087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0E" w:rsidP="001813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720E" w:rsidP="001813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8720E" w:rsidP="001813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35E" w:rsidRPr="0008720E" w:rsidP="00087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0E" w:rsidRPr="002D2AF8" w:rsidP="001813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MEM18071 Connect and disconnect fluid conveying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8720E" w:rsidP="001813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4AA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803C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3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3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3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3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3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3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3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3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3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3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3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35E"/>
  </w:style>
  <w:style w:type="character" w:customStyle="1" w:styleId="Heading1Char">
    <w:name w:val="Heading 1 Char"/>
    <w:basedOn w:val="DefaultParagraphFont"/>
    <w:link w:val="Heading1"/>
    <w:rsid w:val="001813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3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3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3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135E"/>
    <w:rPr>
      <w:b/>
      <w:spacing w:val="0"/>
    </w:rPr>
  </w:style>
  <w:style w:type="paragraph" w:customStyle="1" w:styleId="SuperHeading">
    <w:name w:val="SuperHeading"/>
    <w:basedOn w:val="Normal"/>
    <w:rsid w:val="001813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3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3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3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3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3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3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3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3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3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3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3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3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3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3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3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3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3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3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3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3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3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3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3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3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3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3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3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3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3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3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135E"/>
    <w:rPr>
      <w:i/>
    </w:rPr>
  </w:style>
  <w:style w:type="paragraph" w:styleId="Caption">
    <w:name w:val="caption"/>
    <w:basedOn w:val="BodyText"/>
    <w:next w:val="Normal"/>
    <w:qFormat/>
    <w:rsid w:val="001813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3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3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35E"/>
  </w:style>
  <w:style w:type="paragraph" w:styleId="TableofFigures">
    <w:name w:val="table of figures"/>
    <w:basedOn w:val="Normal"/>
    <w:next w:val="Normal"/>
    <w:semiHidden/>
    <w:rsid w:val="001813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3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135E"/>
    <w:rPr>
      <w:rFonts w:ascii="Wingdings" w:hAnsi="Wingdings"/>
    </w:rPr>
  </w:style>
  <w:style w:type="paragraph" w:customStyle="1" w:styleId="TableHeading">
    <w:name w:val="Table Heading"/>
    <w:basedOn w:val="HeadingBase"/>
    <w:rsid w:val="001813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35E"/>
    <w:rPr>
      <w:color w:val="0033CC"/>
      <w:u w:val="none"/>
    </w:rPr>
  </w:style>
  <w:style w:type="paragraph" w:customStyle="1" w:styleId="BodyTextRight">
    <w:name w:val="Body Text Right"/>
    <w:basedOn w:val="BodyText"/>
    <w:rsid w:val="001813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3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3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3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3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3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35E"/>
    <w:rPr>
      <w:sz w:val="32"/>
    </w:rPr>
  </w:style>
  <w:style w:type="paragraph" w:customStyle="1" w:styleId="HeadingProcedure">
    <w:name w:val="Heading Procedure"/>
    <w:basedOn w:val="HeadingBase"/>
    <w:next w:val="Normal"/>
    <w:rsid w:val="001813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35E"/>
    <w:pPr>
      <w:spacing w:before="60" w:after="60"/>
    </w:pPr>
  </w:style>
  <w:style w:type="paragraph" w:styleId="ListContinue">
    <w:name w:val="List Continue"/>
    <w:basedOn w:val="List"/>
    <w:rsid w:val="0018135E"/>
    <w:pPr>
      <w:ind w:firstLine="0"/>
    </w:pPr>
  </w:style>
  <w:style w:type="paragraph" w:customStyle="1" w:styleId="ListNote">
    <w:name w:val="List Note"/>
    <w:basedOn w:val="List"/>
    <w:rsid w:val="001813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3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3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35E"/>
    <w:rPr>
      <w:rFonts w:ascii="Courier New" w:hAnsi="Courier New"/>
    </w:rPr>
  </w:style>
  <w:style w:type="paragraph" w:customStyle="1" w:styleId="NoteBullet">
    <w:name w:val="Note Bullet"/>
    <w:basedOn w:val="Note"/>
    <w:rsid w:val="001813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3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3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3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3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13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3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35E"/>
    <w:rPr>
      <w:b/>
      <w:smallCaps/>
    </w:rPr>
  </w:style>
  <w:style w:type="paragraph" w:customStyle="1" w:styleId="TableListNumber">
    <w:name w:val="Table List Number"/>
    <w:basedOn w:val="ListNumber"/>
    <w:rsid w:val="001813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3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35E"/>
    <w:pPr>
      <w:numPr>
        <w:numId w:val="8"/>
      </w:numPr>
    </w:pPr>
  </w:style>
  <w:style w:type="paragraph" w:customStyle="1" w:styleId="ListAlpha2">
    <w:name w:val="List Alpha 2"/>
    <w:basedOn w:val="List2"/>
    <w:rsid w:val="0018135E"/>
    <w:pPr>
      <w:numPr>
        <w:numId w:val="7"/>
      </w:numPr>
    </w:pPr>
  </w:style>
  <w:style w:type="paragraph" w:styleId="List2">
    <w:name w:val="List 2"/>
    <w:basedOn w:val="BodyText"/>
    <w:rsid w:val="001813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3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3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3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3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3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135E"/>
    <w:pPr>
      <w:numPr>
        <w:numId w:val="3"/>
      </w:numPr>
    </w:pPr>
  </w:style>
  <w:style w:type="paragraph" w:styleId="ListContinue2">
    <w:name w:val="List Continue 2"/>
    <w:basedOn w:val="List2"/>
    <w:rsid w:val="0018135E"/>
    <w:pPr>
      <w:ind w:firstLine="0"/>
    </w:pPr>
  </w:style>
  <w:style w:type="paragraph" w:styleId="ListContinue3">
    <w:name w:val="List Continue 3"/>
    <w:basedOn w:val="List3"/>
    <w:rsid w:val="0018135E"/>
    <w:pPr>
      <w:ind w:left="1021" w:firstLine="0"/>
    </w:pPr>
  </w:style>
  <w:style w:type="paragraph" w:styleId="ListContinue4">
    <w:name w:val="List Continue 4"/>
    <w:basedOn w:val="List4"/>
    <w:rsid w:val="0018135E"/>
    <w:pPr>
      <w:ind w:firstLine="0"/>
    </w:pPr>
  </w:style>
  <w:style w:type="paragraph" w:styleId="ListContinue5">
    <w:name w:val="List Continue 5"/>
    <w:basedOn w:val="List5"/>
    <w:rsid w:val="0018135E"/>
    <w:pPr>
      <w:ind w:firstLine="0"/>
    </w:pPr>
  </w:style>
  <w:style w:type="paragraph" w:styleId="ListNumber3">
    <w:name w:val="List Number 3"/>
    <w:basedOn w:val="List3"/>
    <w:rsid w:val="0018135E"/>
    <w:pPr>
      <w:numPr>
        <w:numId w:val="4"/>
      </w:numPr>
    </w:pPr>
  </w:style>
  <w:style w:type="paragraph" w:styleId="ListNumber4">
    <w:name w:val="List Number 4"/>
    <w:basedOn w:val="List4"/>
    <w:rsid w:val="0018135E"/>
    <w:pPr>
      <w:numPr>
        <w:numId w:val="5"/>
      </w:numPr>
    </w:pPr>
  </w:style>
  <w:style w:type="paragraph" w:styleId="ListNumber5">
    <w:name w:val="List Number 5"/>
    <w:basedOn w:val="List5"/>
    <w:rsid w:val="0018135E"/>
    <w:pPr>
      <w:numPr>
        <w:numId w:val="6"/>
      </w:numPr>
    </w:pPr>
  </w:style>
  <w:style w:type="paragraph" w:styleId="BlockText">
    <w:name w:val="Block Text"/>
    <w:basedOn w:val="Normal"/>
    <w:rsid w:val="001813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3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35E"/>
    <w:rPr>
      <w:sz w:val="16"/>
      <w:vertAlign w:val="superscript"/>
    </w:rPr>
  </w:style>
  <w:style w:type="character" w:customStyle="1" w:styleId="Symbols">
    <w:name w:val="Symbols"/>
    <w:basedOn w:val="DefaultParagraphFont"/>
    <w:rsid w:val="0018135E"/>
    <w:rPr>
      <w:rFonts w:ascii="Symbol" w:hAnsi="Symbol"/>
    </w:rPr>
  </w:style>
  <w:style w:type="character" w:customStyle="1" w:styleId="MenuOptions">
    <w:name w:val="Menu Options"/>
    <w:basedOn w:val="DefaultParagraphFont"/>
    <w:rsid w:val="001813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35E"/>
    <w:rPr>
      <w:b/>
    </w:rPr>
  </w:style>
  <w:style w:type="character" w:customStyle="1" w:styleId="Underlined">
    <w:name w:val="Underlined"/>
    <w:basedOn w:val="DefaultParagraphFont"/>
    <w:rsid w:val="0018135E"/>
    <w:rPr>
      <w:u w:val="single"/>
    </w:rPr>
  </w:style>
  <w:style w:type="paragraph" w:customStyle="1" w:styleId="TableBodyTextRight">
    <w:name w:val="Table Body Text Right"/>
    <w:basedOn w:val="TableBodyText"/>
    <w:rsid w:val="001813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35E"/>
    <w:rPr>
      <w:sz w:val="18"/>
    </w:rPr>
  </w:style>
  <w:style w:type="paragraph" w:customStyle="1" w:styleId="BodySmallRight">
    <w:name w:val="Body Small Right"/>
    <w:basedOn w:val="BodyTextRight"/>
    <w:rsid w:val="0018135E"/>
    <w:rPr>
      <w:sz w:val="18"/>
      <w:szCs w:val="18"/>
    </w:rPr>
  </w:style>
  <w:style w:type="paragraph" w:customStyle="1" w:styleId="MarginEdition">
    <w:name w:val="Margin Edition"/>
    <w:basedOn w:val="MarginNote"/>
    <w:rsid w:val="001813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35E"/>
    <w:rPr>
      <w:sz w:val="2"/>
      <w:szCs w:val="2"/>
    </w:rPr>
  </w:style>
  <w:style w:type="character" w:customStyle="1" w:styleId="Small">
    <w:name w:val="Small"/>
    <w:basedOn w:val="DefaultParagraphFont"/>
    <w:rsid w:val="0018135E"/>
    <w:rPr>
      <w:sz w:val="16"/>
    </w:rPr>
  </w:style>
  <w:style w:type="paragraph" w:customStyle="1" w:styleId="WideTable">
    <w:name w:val="Wide Table"/>
    <w:basedOn w:val="Normal"/>
    <w:rsid w:val="001813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35E"/>
  </w:style>
  <w:style w:type="paragraph" w:styleId="Quote">
    <w:name w:val="Quote"/>
    <w:basedOn w:val="Heading1"/>
    <w:link w:val="QuoteChar"/>
    <w:qFormat/>
    <w:rsid w:val="001813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3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35E"/>
    <w:pPr>
      <w:pageBreakBefore/>
    </w:pPr>
  </w:style>
  <w:style w:type="paragraph" w:customStyle="1" w:styleId="Border">
    <w:name w:val="Border"/>
    <w:basedOn w:val="Normal"/>
    <w:qFormat/>
    <w:rsid w:val="001813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3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3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3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3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3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3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3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3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35E"/>
    <w:rPr>
      <w:u w:val="single"/>
    </w:rPr>
  </w:style>
  <w:style w:type="character" w:customStyle="1" w:styleId="BoldandItalics">
    <w:name w:val="Bold and Italics"/>
    <w:qFormat/>
    <w:rsid w:val="0018135E"/>
    <w:rPr>
      <w:b/>
      <w:i/>
      <w:u w:val="none"/>
    </w:rPr>
  </w:style>
  <w:style w:type="paragraph" w:styleId="BalloonText">
    <w:name w:val="Balloon Text"/>
    <w:basedOn w:val="Normal"/>
    <w:link w:val="BalloonTextChar"/>
    <w:rsid w:val="00181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3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3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3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3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3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35E"/>
    <w:pPr>
      <w:spacing w:before="0" w:after="0"/>
    </w:pPr>
  </w:style>
  <w:style w:type="paragraph" w:customStyle="1" w:styleId="BodyTextBold">
    <w:name w:val="Body Text Bold"/>
    <w:basedOn w:val="BodyText"/>
    <w:qFormat/>
    <w:rsid w:val="0018135E"/>
    <w:rPr>
      <w:b/>
    </w:rPr>
  </w:style>
  <w:style w:type="character" w:styleId="Hyperlink">
    <w:name w:val="Hyperlink"/>
    <w:basedOn w:val="DefaultParagraphFont"/>
    <w:uiPriority w:val="99"/>
    <w:unhideWhenUsed/>
    <w:rsid w:val="00087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4671</Characters>
  <Application>Microsoft Office Word</Application>
  <DocSecurity>0</DocSecurity>
  <Lines>245</Lines>
  <Paragraphs>134</Paragraphs>
  <ScaleCrop>false</ScaleCrop>
  <Company>Author-it Software Corporation Ltd.</Company>
  <LinksUpToDate>false</LinksUpToDate>
  <CharactersWithSpaces>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MEM18071 Connect and disconnect fluid conveying system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2024-04-26T01:35:00Z</dcterms:created>
  <dcterms:modified xsi:type="dcterms:W3CDTF">2024-04-26T01:35:00Z</dcterms:modified>
</cp:coreProperties>
</file>