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43DE1" w:rsidP="00F43DE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MEM18071 Connect and disconnect fluid conveying system components</w:t>
      </w:r>
      <w:r>
        <w:fldChar w:fldCharType="end"/>
      </w:r>
    </w:p>
    <w:p w:rsidR="00F43DE1" w:rsidP="00F43DE1">
      <w:pPr>
        <w:pStyle w:val="Version"/>
        <w:sectPr w:rsidSect="0090317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0317A" w:rsidP="0090317A">
      <w:pPr>
        <w:pStyle w:val="SuperHeading"/>
      </w:pPr>
      <w:r w:rsidRPr="0090317A">
        <w:t>Assessment Requirements for MEM18071 Connect and disconnect fluid conveying system components</w:t>
      </w:r>
    </w:p>
    <w:p w:rsidR="00000000" w:rsidRPr="0090317A" w:rsidP="0090317A">
      <w:pPr>
        <w:pStyle w:val="Heading1"/>
      </w:pPr>
      <w:bookmarkStart w:id="1" w:name="O_941575"/>
      <w:bookmarkEnd w:id="1"/>
      <w:r w:rsidRPr="0090317A">
        <w:t>Modification History</w:t>
      </w:r>
    </w:p>
    <w:p w:rsidR="00000000" w:rsidRPr="0090317A" w:rsidP="00F43DE1">
      <w:pPr>
        <w:pStyle w:val="BodyText"/>
      </w:pPr>
      <w:r w:rsidRPr="0090317A">
        <w:t>Release 1. Supersedes and is equivalent to MEM18071B Connect/disconnect fluid conveying system components</w:t>
      </w:r>
    </w:p>
    <w:p w:rsidR="00000000" w:rsidRPr="0090317A" w:rsidP="0090317A">
      <w:pPr>
        <w:pStyle w:val="Heading1"/>
      </w:pPr>
      <w:bookmarkStart w:id="2" w:name="O_941578"/>
      <w:bookmarkEnd w:id="2"/>
      <w:r w:rsidRPr="0090317A">
        <w:t>Performance Evidence</w:t>
      </w:r>
    </w:p>
    <w:p w:rsidR="00000000" w:rsidRPr="0090317A" w:rsidP="00F43DE1">
      <w:pPr>
        <w:pStyle w:val="BodyText"/>
      </w:pPr>
      <w:r w:rsidRPr="0090317A">
        <w:t>Evidence required to demonstrate competence in this unit must be relevant to and satisfy the requirements of the elements and performance criteria on at least two (2) occasions and include:</w:t>
      </w:r>
    </w:p>
    <w:p w:rsidR="00000000" w:rsidRPr="0090317A" w:rsidP="0090317A">
      <w:pPr>
        <w:pStyle w:val="ListBullet"/>
      </w:pPr>
      <w:r w:rsidRPr="0090317A">
        <w:t>following work instructions, standard operat</w:t>
      </w:r>
      <w:r w:rsidRPr="0090317A">
        <w:t xml:space="preserve">ing procedures (SOPs) and safe work practices </w:t>
      </w:r>
    </w:p>
    <w:p w:rsidR="00000000" w:rsidRPr="0090317A" w:rsidP="0090317A">
      <w:pPr>
        <w:pStyle w:val="ListBullet"/>
      </w:pPr>
      <w:r w:rsidRPr="0090317A">
        <w:t>identifying and interpreting specifications and obtaining relevant data with respect to connecting and disconnecting fluid conveying system components</w:t>
      </w:r>
    </w:p>
    <w:p w:rsidR="00000000" w:rsidRPr="0090317A" w:rsidP="0090317A">
      <w:pPr>
        <w:pStyle w:val="ListBullet"/>
      </w:pPr>
      <w:r w:rsidRPr="0090317A">
        <w:t>identifying potential hazardous situations and carrying ou</w:t>
      </w:r>
      <w:r w:rsidRPr="0090317A">
        <w:t>t a risk assessment and isolating, tagging, locking off and displaying signage using appropriate procedures</w:t>
      </w:r>
    </w:p>
    <w:p w:rsidR="00000000" w:rsidRPr="0090317A" w:rsidP="0090317A">
      <w:pPr>
        <w:pStyle w:val="ListBullet"/>
      </w:pPr>
      <w:r w:rsidRPr="0090317A">
        <w:t>locating faulty component, neutralising pressures and disconnecting and removing fluid conveying components and assemblies using appropriate techniq</w:t>
      </w:r>
      <w:r w:rsidRPr="0090317A">
        <w:t>ues, tools and equipment and sealing open system with appropriate sealing materials</w:t>
      </w:r>
    </w:p>
    <w:p w:rsidR="00000000" w:rsidRPr="0090317A" w:rsidP="0090317A">
      <w:pPr>
        <w:pStyle w:val="ListBullet"/>
      </w:pPr>
      <w:r w:rsidRPr="0090317A">
        <w:t>selecting replacement components from manufacturer catalogues and other reference sources</w:t>
      </w:r>
    </w:p>
    <w:p w:rsidR="00000000" w:rsidRPr="0090317A" w:rsidP="0090317A">
      <w:pPr>
        <w:pStyle w:val="ListBullet"/>
      </w:pPr>
      <w:r w:rsidRPr="0090317A">
        <w:t>performing pressure testing on fluid conveying assemblies and individual component</w:t>
      </w:r>
      <w:r w:rsidRPr="0090317A">
        <w:t>s using fluid power principles and undertaking condition and serviceability assessment and storing components/assemblies according to industry standards</w:t>
      </w:r>
    </w:p>
    <w:p w:rsidR="00000000" w:rsidRPr="0090317A" w:rsidP="0090317A">
      <w:pPr>
        <w:pStyle w:val="ListBullet"/>
      </w:pPr>
      <w:r w:rsidRPr="0090317A">
        <w:t>connecting components and assemblies to equipment, removing tagged out equipment, signage and safety bl</w:t>
      </w:r>
      <w:r w:rsidRPr="0090317A">
        <w:t xml:space="preserve">ocking devices </w:t>
      </w:r>
    </w:p>
    <w:p w:rsidR="00000000" w:rsidRPr="0090317A" w:rsidP="0090317A">
      <w:pPr>
        <w:pStyle w:val="ListBullet"/>
      </w:pPr>
      <w:r w:rsidRPr="0090317A">
        <w:t>testing equipment and fluid conveying systems using appropriate test equipment and rigs for compliance to manufacturer and industry standards</w:t>
      </w:r>
    </w:p>
    <w:p w:rsidR="00000000" w:rsidRPr="0090317A" w:rsidP="0090317A">
      <w:pPr>
        <w:pStyle w:val="ListBullet"/>
      </w:pPr>
      <w:r w:rsidRPr="0090317A">
        <w:t>completing routine reports and certification procedures.</w:t>
      </w:r>
    </w:p>
    <w:p w:rsidR="00000000" w:rsidRPr="0090317A" w:rsidP="0090317A">
      <w:pPr>
        <w:pStyle w:val="AllowPageBreak"/>
      </w:pPr>
    </w:p>
    <w:p w:rsidR="00000000" w:rsidRPr="0090317A" w:rsidP="0090317A">
      <w:pPr>
        <w:pStyle w:val="Heading1"/>
      </w:pPr>
      <w:bookmarkStart w:id="3" w:name="O_941577"/>
      <w:bookmarkEnd w:id="3"/>
      <w:r w:rsidRPr="0090317A">
        <w:t>Knowledge Evidence</w:t>
      </w:r>
    </w:p>
    <w:p w:rsidR="00000000" w:rsidRPr="0090317A" w:rsidP="00F43DE1">
      <w:pPr>
        <w:pStyle w:val="BodyText"/>
      </w:pPr>
      <w:r w:rsidRPr="0090317A">
        <w:t>Evide</w:t>
      </w:r>
      <w:r w:rsidRPr="0090317A">
        <w:t>nce required to demonstrate the required knowledge for this unit must be relevant to and satisfy the requirements of the elements and performance criteria and include knowledge of:</w:t>
      </w:r>
    </w:p>
    <w:p w:rsidR="00000000" w:rsidRPr="0090317A" w:rsidP="0090317A">
      <w:pPr>
        <w:pStyle w:val="ListBullet"/>
      </w:pPr>
      <w:r w:rsidRPr="0090317A">
        <w:t>safe work practices and procedures and use of personal protective equipmen</w:t>
      </w:r>
      <w:r w:rsidRPr="0090317A">
        <w:t>t (PPE)</w:t>
      </w:r>
    </w:p>
    <w:p w:rsidR="00000000" w:rsidRPr="0090317A" w:rsidP="0090317A">
      <w:pPr>
        <w:pStyle w:val="ListBullet"/>
      </w:pPr>
      <w:r w:rsidRPr="0090317A">
        <w:t xml:space="preserve">different sources of stored energy and their applications </w:t>
      </w:r>
    </w:p>
    <w:p w:rsidR="00000000" w:rsidRPr="0090317A" w:rsidP="0090317A">
      <w:pPr>
        <w:pStyle w:val="ListBullet"/>
      </w:pPr>
      <w:r w:rsidRPr="0090317A">
        <w:t>work health and safety (WHS) responsibilities of customer and self</w:t>
      </w:r>
    </w:p>
    <w:p w:rsidR="00000000" w:rsidRPr="0090317A" w:rsidP="0090317A">
      <w:pPr>
        <w:pStyle w:val="ListBullet"/>
      </w:pPr>
      <w:r w:rsidRPr="0090317A">
        <w:t>safety/security lock-off devices and signage and procedures and reasons for installing lock-off devices and signage</w:t>
      </w:r>
    </w:p>
    <w:p w:rsidR="00000000" w:rsidRPr="0090317A" w:rsidP="0090317A">
      <w:pPr>
        <w:pStyle w:val="ListBullet"/>
      </w:pPr>
      <w:r w:rsidRPr="0090317A">
        <w:t xml:space="preserve">basic functions of fluid power systems, including: </w:t>
      </w:r>
    </w:p>
    <w:p w:rsidR="00000000" w:rsidRPr="0090317A" w:rsidP="0090317A">
      <w:pPr>
        <w:pStyle w:val="ListBullet2"/>
      </w:pPr>
      <w:r w:rsidRPr="0090317A">
        <w:t>effects of heat and contamination</w:t>
      </w:r>
    </w:p>
    <w:p w:rsidR="00000000" w:rsidRPr="0090317A" w:rsidP="0090317A">
      <w:pPr>
        <w:pStyle w:val="ListBullet2"/>
      </w:pPr>
      <w:r w:rsidRPr="0090317A">
        <w:t>pressures</w:t>
      </w:r>
    </w:p>
    <w:p w:rsidR="00000000" w:rsidRPr="0090317A" w:rsidP="0090317A">
      <w:pPr>
        <w:pStyle w:val="ListBullet2"/>
      </w:pPr>
      <w:r w:rsidRPr="0090317A">
        <w:t>flow rates and temperatures</w:t>
      </w:r>
    </w:p>
    <w:p w:rsidR="00000000" w:rsidRPr="0090317A" w:rsidP="0090317A">
      <w:pPr>
        <w:pStyle w:val="ListBullet2"/>
      </w:pPr>
      <w:r w:rsidRPr="0090317A">
        <w:t>hose strength and size</w:t>
      </w:r>
    </w:p>
    <w:p w:rsidR="00000000" w:rsidRPr="0090317A" w:rsidP="0090317A">
      <w:pPr>
        <w:pStyle w:val="ListBullet2"/>
      </w:pPr>
      <w:r w:rsidRPr="0090317A">
        <w:t>effect of media on hoses</w:t>
      </w:r>
    </w:p>
    <w:p w:rsidR="00000000" w:rsidRPr="0090317A" w:rsidP="0090317A">
      <w:pPr>
        <w:pStyle w:val="ListBullet2"/>
      </w:pPr>
      <w:r w:rsidRPr="0090317A">
        <w:t>test</w:t>
      </w:r>
    </w:p>
    <w:p w:rsidR="00000000" w:rsidRPr="0090317A" w:rsidP="0090317A">
      <w:pPr>
        <w:pStyle w:val="ListBullet2"/>
      </w:pPr>
      <w:r w:rsidRPr="0090317A">
        <w:t>operational and burst pressures</w:t>
      </w:r>
    </w:p>
    <w:p w:rsidR="00000000" w:rsidRPr="0090317A" w:rsidP="0090317A">
      <w:pPr>
        <w:pStyle w:val="ListBullet"/>
      </w:pPr>
      <w:r w:rsidRPr="0090317A">
        <w:t xml:space="preserve">techniques and safety practices for pressure </w:t>
      </w:r>
      <w:r w:rsidRPr="0090317A">
        <w:t>testing</w:t>
      </w:r>
    </w:p>
    <w:p w:rsidR="00000000" w:rsidRPr="0090317A" w:rsidP="0090317A">
      <w:pPr>
        <w:pStyle w:val="ListBullet"/>
      </w:pPr>
      <w:r w:rsidRPr="0090317A">
        <w:t>tools, techniques and procedures for removal of components</w:t>
      </w:r>
    </w:p>
    <w:p w:rsidR="00000000" w:rsidRPr="0090317A" w:rsidP="0090317A">
      <w:pPr>
        <w:pStyle w:val="ListBullet"/>
      </w:pPr>
      <w:r w:rsidRPr="0090317A">
        <w:t>troubleshooting techniques</w:t>
      </w:r>
    </w:p>
    <w:p w:rsidR="00000000" w:rsidRPr="0090317A" w:rsidP="0090317A">
      <w:pPr>
        <w:pStyle w:val="ListBullet"/>
      </w:pPr>
      <w:r w:rsidRPr="0090317A">
        <w:t xml:space="preserve">standard and specific sealing materials and techniques </w:t>
      </w:r>
    </w:p>
    <w:p w:rsidR="00000000" w:rsidRPr="0090317A" w:rsidP="0090317A">
      <w:pPr>
        <w:pStyle w:val="ListBullet"/>
      </w:pPr>
      <w:r w:rsidRPr="0090317A">
        <w:t>different fluid conveying parts and their function</w:t>
      </w:r>
    </w:p>
    <w:p w:rsidR="00000000" w:rsidRPr="0090317A" w:rsidP="0090317A">
      <w:pPr>
        <w:pStyle w:val="ListBullet"/>
      </w:pPr>
      <w:r w:rsidRPr="0090317A">
        <w:t>techniques and safety practices for pressure testing</w:t>
      </w:r>
    </w:p>
    <w:p w:rsidR="00000000" w:rsidRPr="0090317A" w:rsidP="0090317A">
      <w:pPr>
        <w:pStyle w:val="ListBullet"/>
      </w:pPr>
      <w:r w:rsidRPr="0090317A">
        <w:t>cr</w:t>
      </w:r>
      <w:r w:rsidRPr="0090317A">
        <w:t xml:space="preserve">iteria for assessment </w:t>
      </w:r>
    </w:p>
    <w:p w:rsidR="00000000" w:rsidRPr="0090317A" w:rsidP="0090317A">
      <w:pPr>
        <w:pStyle w:val="ListBullet"/>
      </w:pPr>
      <w:r w:rsidRPr="0090317A">
        <w:t xml:space="preserve">methods of cleaning, sealing and storage </w:t>
      </w:r>
    </w:p>
    <w:p w:rsidR="00000000" w:rsidRPr="0090317A" w:rsidP="0090317A">
      <w:pPr>
        <w:pStyle w:val="ListBullet"/>
      </w:pPr>
      <w:r w:rsidRPr="0090317A">
        <w:t xml:space="preserve">techniques and criteria for connection and confirming connection </w:t>
      </w:r>
    </w:p>
    <w:p w:rsidR="00000000" w:rsidRPr="0090317A" w:rsidP="0090317A">
      <w:pPr>
        <w:pStyle w:val="ListBullet"/>
      </w:pPr>
      <w:r w:rsidRPr="0090317A">
        <w:t>techniques, procedures and safety practices. including neutralisation of pressures.</w:t>
      </w:r>
    </w:p>
    <w:p w:rsidR="00000000" w:rsidRPr="0090317A" w:rsidP="0090317A">
      <w:pPr>
        <w:pStyle w:val="AllowPageBreak"/>
      </w:pPr>
    </w:p>
    <w:p w:rsidR="00000000" w:rsidRPr="0090317A" w:rsidP="0090317A">
      <w:pPr>
        <w:pStyle w:val="Heading1"/>
      </w:pPr>
      <w:bookmarkStart w:id="4" w:name="O_941576"/>
      <w:bookmarkEnd w:id="4"/>
      <w:r w:rsidRPr="0090317A">
        <w:t>Assessment Conditions</w:t>
      </w:r>
    </w:p>
    <w:p w:rsidR="00000000" w:rsidRPr="0090317A" w:rsidP="0090317A">
      <w:pPr>
        <w:pStyle w:val="ListBullet"/>
      </w:pPr>
      <w:r w:rsidRPr="0090317A">
        <w:t>Assessors must:</w:t>
      </w:r>
    </w:p>
    <w:p w:rsidR="00000000" w:rsidRPr="0090317A" w:rsidP="0090317A">
      <w:pPr>
        <w:pStyle w:val="ListBullet2"/>
      </w:pPr>
      <w:r w:rsidRPr="0090317A">
        <w:t>have vocational competency in connecting and disconnecting fluid conveying system components at least to the level being assessed with relevant industry knowledge and experience</w:t>
      </w:r>
    </w:p>
    <w:p w:rsidR="00000000" w:rsidRPr="0090317A" w:rsidP="0090317A">
      <w:pPr>
        <w:pStyle w:val="ListBullet2"/>
      </w:pPr>
      <w:r w:rsidRPr="0090317A">
        <w:t xml:space="preserve">satisfy the assessor requirements in the </w:t>
      </w:r>
      <w:r w:rsidRPr="0090317A">
        <w:rPr>
          <w:rStyle w:val="Emphasis"/>
        </w:rPr>
        <w:t>Standards for Regist</w:t>
      </w:r>
      <w:r w:rsidRPr="0090317A">
        <w:rPr>
          <w:rStyle w:val="Emphasis"/>
        </w:rPr>
        <w:t xml:space="preserve">ered Training Organisations 2015 </w:t>
      </w:r>
      <w:r w:rsidRPr="0090317A">
        <w:t>or its replacement</w:t>
      </w:r>
      <w:r w:rsidRPr="0090317A">
        <w:rPr>
          <w:rStyle w:val="Emphasis"/>
        </w:rPr>
        <w:t xml:space="preserve"> </w:t>
      </w:r>
      <w:r w:rsidRPr="0090317A">
        <w:t xml:space="preserve">and comply with the </w:t>
      </w:r>
      <w:r w:rsidRPr="0090317A">
        <w:rPr>
          <w:rStyle w:val="Emphasis"/>
        </w:rPr>
        <w:t xml:space="preserve">National Vocational Education and Training Regulator Act 2011, </w:t>
      </w:r>
      <w:r w:rsidRPr="0090317A">
        <w:t>its replacement</w:t>
      </w:r>
      <w:r w:rsidRPr="0090317A">
        <w:rPr>
          <w:rStyle w:val="Emphasis"/>
        </w:rPr>
        <w:t xml:space="preserve"> </w:t>
      </w:r>
      <w:r w:rsidRPr="0090317A">
        <w:t>or equivalent legislation covering VET regulation in a non-referring state/territory as the case requires</w:t>
      </w:r>
    </w:p>
    <w:p w:rsidR="00000000" w:rsidRPr="0090317A" w:rsidP="0090317A">
      <w:pPr>
        <w:pStyle w:val="ListBullet"/>
      </w:pPr>
      <w:r w:rsidRPr="0090317A">
        <w:t>Where possible assessment must occur in operational workplace situations. Where this is not possible or where personal safety or environmental damage are limiting factors, assessment must occur in a sufficiently rigorous simulated environment that reflec</w:t>
      </w:r>
      <w:r w:rsidRPr="0090317A">
        <w:t>ts realistic operational workplace conditions. This must cover all aspects of workplace performance, including environment, task skills, task management skills, contingency management skills and job role environment skills</w:t>
      </w:r>
    </w:p>
    <w:p w:rsidR="00000000" w:rsidRPr="0090317A" w:rsidP="0090317A">
      <w:pPr>
        <w:pStyle w:val="ListBullet"/>
      </w:pPr>
      <w:r w:rsidRPr="0090317A">
        <w:t>Conditions for assessment must in</w:t>
      </w:r>
      <w:r w:rsidRPr="0090317A">
        <w:t>clude access to all tools, equipment, materials and documentation required, including relevant workplace procedures, product and manufacturing specifications</w:t>
      </w:r>
    </w:p>
    <w:p w:rsidR="00000000" w:rsidRPr="0090317A" w:rsidP="0090317A">
      <w:pPr>
        <w:pStyle w:val="ListBullet"/>
      </w:pPr>
      <w:r w:rsidRPr="0090317A">
        <w:t>Assessment processes and techniques must be appropriate to the language, literacy and numeracy req</w:t>
      </w:r>
      <w:r w:rsidRPr="0090317A">
        <w:t>uirements of the work being performed and the needs of the candidate.</w:t>
      </w:r>
    </w:p>
    <w:p w:rsidR="00000000" w:rsidRPr="0090317A" w:rsidP="0090317A">
      <w:pPr>
        <w:pStyle w:val="AllowPageBreak"/>
      </w:pPr>
    </w:p>
    <w:p w:rsidR="00000000" w:rsidRPr="0090317A" w:rsidP="0090317A">
      <w:pPr>
        <w:pStyle w:val="Heading1"/>
      </w:pPr>
      <w:bookmarkStart w:id="5" w:name="O_941574"/>
      <w:bookmarkEnd w:id="5"/>
      <w:r w:rsidRPr="0090317A">
        <w:t>Links</w:t>
      </w:r>
    </w:p>
    <w:p w:rsidR="00000000" w:rsidRPr="0090317A" w:rsidP="00F43DE1">
      <w:pPr>
        <w:pStyle w:val="BodyText"/>
      </w:pPr>
      <w:r w:rsidRPr="0090317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05343C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90317A" w:rsidP="0090317A"/>
    <w:sectPr w:rsidSect="0090317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317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317A" w:rsidRPr="00F43DE1" w:rsidP="00F43DE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317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3DE1" w:rsidP="0090317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43DE1" w:rsidP="0090317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F43DE1" w:rsidP="0090317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317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3DE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0317A" w:rsidRPr="00F43DE1" w:rsidP="00F43DE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317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3DE1" w:rsidRPr="002D2AF8" w:rsidP="0090317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MEM18071 Connect and disconnect fluid conveying system components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26 April 2024</w:t>
    </w:r>
    <w:r>
      <w:fldChar w:fldCharType="end"/>
    </w:r>
  </w:p>
  <w:p w:rsidR="00F43DE1" w:rsidP="0090317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7A50DBE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168098C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55F4C7D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0317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0317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0317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0317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0317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0317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0317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0317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0317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0317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0317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0317A"/>
  </w:style>
  <w:style w:type="character" w:customStyle="1" w:styleId="Heading1Char">
    <w:name w:val="Heading 1 Char"/>
    <w:basedOn w:val="DefaultParagraphFont"/>
    <w:link w:val="Heading1"/>
    <w:rsid w:val="0090317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0317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0317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0317A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90317A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90317A"/>
    <w:rPr>
      <w:i/>
    </w:rPr>
  </w:style>
  <w:style w:type="paragraph" w:customStyle="1" w:styleId="SuperHeading">
    <w:name w:val="SuperHeading"/>
    <w:basedOn w:val="Normal"/>
    <w:rsid w:val="0090317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0317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0317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0317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0317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0317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0317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0317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0317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0317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0317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0317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0317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0317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0317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0317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0317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0317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0317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0317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0317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0317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90317A"/>
    <w:rPr>
      <w:b/>
      <w:spacing w:val="0"/>
    </w:rPr>
  </w:style>
  <w:style w:type="paragraph" w:customStyle="1" w:styleId="SuperTitle">
    <w:name w:val="SuperTitle"/>
    <w:basedOn w:val="Title"/>
    <w:rsid w:val="0090317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0317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0317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90317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0317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0317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0317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0317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0317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0317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0317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0317A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90317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0317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0317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0317A"/>
  </w:style>
  <w:style w:type="paragraph" w:styleId="TableofFigures">
    <w:name w:val="table of figures"/>
    <w:basedOn w:val="Normal"/>
    <w:next w:val="Normal"/>
    <w:semiHidden/>
    <w:rsid w:val="0090317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0317A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90317A"/>
    <w:rPr>
      <w:rFonts w:ascii="Wingdings" w:hAnsi="Wingdings"/>
    </w:rPr>
  </w:style>
  <w:style w:type="paragraph" w:customStyle="1" w:styleId="TableHeading">
    <w:name w:val="Table Heading"/>
    <w:basedOn w:val="HeadingBase"/>
    <w:rsid w:val="0090317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0317A"/>
    <w:rPr>
      <w:color w:val="0033CC"/>
      <w:u w:val="none"/>
    </w:rPr>
  </w:style>
  <w:style w:type="paragraph" w:customStyle="1" w:styleId="BodyTextRight">
    <w:name w:val="Body Text Right"/>
    <w:basedOn w:val="BodyText"/>
    <w:rsid w:val="0090317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0317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0317A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0317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0317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0317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0317A"/>
    <w:rPr>
      <w:sz w:val="32"/>
    </w:rPr>
  </w:style>
  <w:style w:type="paragraph" w:customStyle="1" w:styleId="HeadingProcedure">
    <w:name w:val="Heading Procedure"/>
    <w:basedOn w:val="HeadingBase"/>
    <w:next w:val="Normal"/>
    <w:rsid w:val="0090317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0317A"/>
    <w:pPr>
      <w:spacing w:before="60" w:after="60"/>
    </w:pPr>
  </w:style>
  <w:style w:type="paragraph" w:styleId="ListContinue">
    <w:name w:val="List Continue"/>
    <w:basedOn w:val="List"/>
    <w:rsid w:val="0090317A"/>
    <w:pPr>
      <w:ind w:firstLine="0"/>
    </w:pPr>
  </w:style>
  <w:style w:type="paragraph" w:customStyle="1" w:styleId="ListNote">
    <w:name w:val="List Note"/>
    <w:basedOn w:val="List"/>
    <w:rsid w:val="0090317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0317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0317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0317A"/>
    <w:rPr>
      <w:rFonts w:ascii="Courier New" w:hAnsi="Courier New"/>
    </w:rPr>
  </w:style>
  <w:style w:type="paragraph" w:customStyle="1" w:styleId="NoteBullet">
    <w:name w:val="Note Bullet"/>
    <w:basedOn w:val="Note"/>
    <w:rsid w:val="0090317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0317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0317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0317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0317A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90317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0317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0317A"/>
    <w:rPr>
      <w:b/>
      <w:smallCaps/>
    </w:rPr>
  </w:style>
  <w:style w:type="paragraph" w:customStyle="1" w:styleId="TableListNumber">
    <w:name w:val="Table List Number"/>
    <w:basedOn w:val="ListNumber"/>
    <w:rsid w:val="0090317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0317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0317A"/>
    <w:pPr>
      <w:numPr>
        <w:numId w:val="9"/>
      </w:numPr>
    </w:pPr>
  </w:style>
  <w:style w:type="paragraph" w:customStyle="1" w:styleId="ListAlpha2">
    <w:name w:val="List Alpha 2"/>
    <w:basedOn w:val="List2"/>
    <w:rsid w:val="0090317A"/>
    <w:pPr>
      <w:numPr>
        <w:numId w:val="8"/>
      </w:numPr>
    </w:pPr>
  </w:style>
  <w:style w:type="paragraph" w:styleId="List2">
    <w:name w:val="List 2"/>
    <w:basedOn w:val="BodyText"/>
    <w:rsid w:val="0090317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0317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0317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0317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0317A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0317A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90317A"/>
    <w:pPr>
      <w:numPr>
        <w:numId w:val="4"/>
      </w:numPr>
    </w:pPr>
  </w:style>
  <w:style w:type="paragraph" w:styleId="ListContinue2">
    <w:name w:val="List Continue 2"/>
    <w:basedOn w:val="List2"/>
    <w:rsid w:val="0090317A"/>
    <w:pPr>
      <w:ind w:firstLine="0"/>
    </w:pPr>
  </w:style>
  <w:style w:type="paragraph" w:styleId="ListContinue3">
    <w:name w:val="List Continue 3"/>
    <w:basedOn w:val="List3"/>
    <w:rsid w:val="0090317A"/>
    <w:pPr>
      <w:ind w:left="1021" w:firstLine="0"/>
    </w:pPr>
  </w:style>
  <w:style w:type="paragraph" w:styleId="ListContinue4">
    <w:name w:val="List Continue 4"/>
    <w:basedOn w:val="List4"/>
    <w:rsid w:val="0090317A"/>
    <w:pPr>
      <w:ind w:firstLine="0"/>
    </w:pPr>
  </w:style>
  <w:style w:type="paragraph" w:styleId="ListContinue5">
    <w:name w:val="List Continue 5"/>
    <w:basedOn w:val="List5"/>
    <w:rsid w:val="0090317A"/>
    <w:pPr>
      <w:ind w:firstLine="0"/>
    </w:pPr>
  </w:style>
  <w:style w:type="paragraph" w:styleId="ListNumber3">
    <w:name w:val="List Number 3"/>
    <w:basedOn w:val="List3"/>
    <w:rsid w:val="0090317A"/>
    <w:pPr>
      <w:numPr>
        <w:numId w:val="5"/>
      </w:numPr>
    </w:pPr>
  </w:style>
  <w:style w:type="paragraph" w:styleId="ListNumber4">
    <w:name w:val="List Number 4"/>
    <w:basedOn w:val="List4"/>
    <w:rsid w:val="0090317A"/>
    <w:pPr>
      <w:numPr>
        <w:numId w:val="6"/>
      </w:numPr>
    </w:pPr>
  </w:style>
  <w:style w:type="paragraph" w:styleId="ListNumber5">
    <w:name w:val="List Number 5"/>
    <w:basedOn w:val="List5"/>
    <w:rsid w:val="0090317A"/>
    <w:pPr>
      <w:numPr>
        <w:numId w:val="7"/>
      </w:numPr>
    </w:pPr>
  </w:style>
  <w:style w:type="paragraph" w:styleId="BlockText">
    <w:name w:val="Block Text"/>
    <w:basedOn w:val="Normal"/>
    <w:rsid w:val="0090317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0317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0317A"/>
    <w:rPr>
      <w:sz w:val="16"/>
      <w:vertAlign w:val="superscript"/>
    </w:rPr>
  </w:style>
  <w:style w:type="character" w:customStyle="1" w:styleId="Symbols">
    <w:name w:val="Symbols"/>
    <w:basedOn w:val="DefaultParagraphFont"/>
    <w:rsid w:val="0090317A"/>
    <w:rPr>
      <w:rFonts w:ascii="Symbol" w:hAnsi="Symbol"/>
    </w:rPr>
  </w:style>
  <w:style w:type="character" w:customStyle="1" w:styleId="MenuOptions">
    <w:name w:val="Menu Options"/>
    <w:basedOn w:val="DefaultParagraphFont"/>
    <w:rsid w:val="0090317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0317A"/>
    <w:rPr>
      <w:b/>
    </w:rPr>
  </w:style>
  <w:style w:type="character" w:customStyle="1" w:styleId="Underlined">
    <w:name w:val="Underlined"/>
    <w:basedOn w:val="DefaultParagraphFont"/>
    <w:rsid w:val="0090317A"/>
    <w:rPr>
      <w:u w:val="single"/>
    </w:rPr>
  </w:style>
  <w:style w:type="paragraph" w:customStyle="1" w:styleId="TableBodyTextRight">
    <w:name w:val="Table Body Text Right"/>
    <w:basedOn w:val="TableBodyText"/>
    <w:rsid w:val="0090317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0317A"/>
    <w:rPr>
      <w:sz w:val="18"/>
    </w:rPr>
  </w:style>
  <w:style w:type="paragraph" w:customStyle="1" w:styleId="BodySmallRight">
    <w:name w:val="Body Small Right"/>
    <w:basedOn w:val="BodyTextRight"/>
    <w:rsid w:val="0090317A"/>
    <w:rPr>
      <w:sz w:val="18"/>
      <w:szCs w:val="18"/>
    </w:rPr>
  </w:style>
  <w:style w:type="paragraph" w:customStyle="1" w:styleId="MarginEdition">
    <w:name w:val="Margin Edition"/>
    <w:basedOn w:val="MarginNote"/>
    <w:rsid w:val="0090317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0317A"/>
    <w:rPr>
      <w:sz w:val="2"/>
      <w:szCs w:val="2"/>
    </w:rPr>
  </w:style>
  <w:style w:type="character" w:customStyle="1" w:styleId="Small">
    <w:name w:val="Small"/>
    <w:basedOn w:val="DefaultParagraphFont"/>
    <w:rsid w:val="0090317A"/>
    <w:rPr>
      <w:sz w:val="16"/>
    </w:rPr>
  </w:style>
  <w:style w:type="paragraph" w:customStyle="1" w:styleId="WideTable">
    <w:name w:val="Wide Table"/>
    <w:basedOn w:val="Normal"/>
    <w:rsid w:val="0090317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0317A"/>
  </w:style>
  <w:style w:type="paragraph" w:styleId="Quote">
    <w:name w:val="Quote"/>
    <w:basedOn w:val="Heading1"/>
    <w:link w:val="QuoteChar"/>
    <w:qFormat/>
    <w:rsid w:val="0090317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0317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0317A"/>
    <w:pPr>
      <w:pageBreakBefore/>
    </w:pPr>
  </w:style>
  <w:style w:type="paragraph" w:customStyle="1" w:styleId="Border">
    <w:name w:val="Border"/>
    <w:basedOn w:val="Normal"/>
    <w:qFormat/>
    <w:rsid w:val="0090317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0317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0317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0317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0317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0317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0317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0317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0317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0317A"/>
    <w:rPr>
      <w:u w:val="single"/>
    </w:rPr>
  </w:style>
  <w:style w:type="character" w:customStyle="1" w:styleId="BoldandItalics">
    <w:name w:val="Bold and Italics"/>
    <w:qFormat/>
    <w:rsid w:val="0090317A"/>
    <w:rPr>
      <w:b/>
      <w:i/>
      <w:u w:val="none"/>
    </w:rPr>
  </w:style>
  <w:style w:type="paragraph" w:styleId="BalloonText">
    <w:name w:val="Balloon Text"/>
    <w:basedOn w:val="Normal"/>
    <w:link w:val="BalloonTextChar"/>
    <w:rsid w:val="0090317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0317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0317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0317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0317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0317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0317A"/>
    <w:pPr>
      <w:spacing w:before="0" w:after="0"/>
    </w:pPr>
  </w:style>
  <w:style w:type="paragraph" w:customStyle="1" w:styleId="BodyTextBold">
    <w:name w:val="Body Text Bold"/>
    <w:basedOn w:val="BodyText"/>
    <w:qFormat/>
    <w:rsid w:val="0090317A"/>
    <w:rPr>
      <w:b/>
    </w:rPr>
  </w:style>
  <w:style w:type="character" w:styleId="Hyperlink">
    <w:name w:val="Hyperlink"/>
    <w:basedOn w:val="DefaultParagraphFont"/>
    <w:uiPriority w:val="99"/>
    <w:unhideWhenUsed/>
    <w:rsid w:val="00F43DE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606</Words>
  <Characters>4164</Characters>
  <Application>Microsoft Office Word</Application>
  <DocSecurity>0</DocSecurity>
  <Lines>90</Lines>
  <Paragraphs>57</Paragraphs>
  <ScaleCrop>false</ScaleCrop>
  <Company>Author-it Software Corporation Ltd.</Company>
  <LinksUpToDate>false</LinksUpToDate>
  <CharactersWithSpaces>4713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MEM18071 Connect and disconnect fluid conveying system components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2024-04-26T01:37:00Z</dcterms:created>
  <dcterms:modified xsi:type="dcterms:W3CDTF">2024-04-26T01:37:00Z</dcterms:modified>
</cp:coreProperties>
</file>