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199" w:rsidP="005F7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MEM18069 Maintain, repair instrumentation process control analysers</w:t>
      </w:r>
      <w:r>
        <w:fldChar w:fldCharType="end"/>
      </w:r>
    </w:p>
    <w:p w:rsidR="005F7199" w:rsidP="005F7199">
      <w:pPr>
        <w:pStyle w:val="Version"/>
        <w:sectPr w:rsidSect="00081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C71" w:rsidP="00081C71">
      <w:pPr>
        <w:pStyle w:val="SuperHeading"/>
      </w:pPr>
      <w:r w:rsidRPr="00081C71">
        <w:t>MEM18069 Main</w:t>
      </w:r>
      <w:r w:rsidRPr="00081C71">
        <w:t>tain, repair instrumentation process control analysers</w:t>
      </w:r>
    </w:p>
    <w:p w:rsidR="00000000" w:rsidRPr="00081C71" w:rsidP="00081C71">
      <w:pPr>
        <w:pStyle w:val="Heading1"/>
      </w:pPr>
      <w:bookmarkStart w:id="1" w:name="O_941560"/>
      <w:bookmarkEnd w:id="1"/>
      <w:r w:rsidRPr="00081C71">
        <w:t>Modification History</w:t>
      </w:r>
    </w:p>
    <w:p w:rsidR="00000000" w:rsidRPr="00081C71" w:rsidP="005F7199">
      <w:pPr>
        <w:pStyle w:val="BodyText"/>
      </w:pPr>
      <w:r w:rsidRPr="00081C71">
        <w:t>Release 1. Supersedes and is equivalent to MEM18069B Maintain, repair instrumentation process control analysers</w:t>
      </w:r>
    </w:p>
    <w:p w:rsidR="00000000" w:rsidRPr="00081C71" w:rsidP="00081C71">
      <w:pPr>
        <w:pStyle w:val="Heading1"/>
      </w:pPr>
      <w:bookmarkStart w:id="2" w:name="O_941568"/>
      <w:bookmarkEnd w:id="2"/>
      <w:r w:rsidRPr="00081C71">
        <w:t>Application</w:t>
      </w:r>
    </w:p>
    <w:p w:rsidR="00000000" w:rsidRPr="00081C71" w:rsidP="005F7199">
      <w:pPr>
        <w:pStyle w:val="BodyText"/>
      </w:pPr>
      <w:r w:rsidRPr="00081C71">
        <w:t>This unit of competency defines the skills and knowledge required to perform preventative maintenance on process control analysers; complete fault documentation; plan corrective action; repair, replace, overhaul, calibrate and test; re-install and recommis</w:t>
      </w:r>
      <w:r w:rsidRPr="00081C71">
        <w:t>sion process control analysers and applies to the use of electrical and electronic test equipment for transmission and signal measurement.</w:t>
      </w:r>
    </w:p>
    <w:p w:rsidR="00000000" w:rsidRPr="00081C71" w:rsidP="005F7199">
      <w:pPr>
        <w:pStyle w:val="BodyText"/>
      </w:pPr>
      <w:r w:rsidRPr="00081C71">
        <w:t>Central to the task is the interpretation of electrical and electronic circuit diagrams and the interpretation of ca</w:t>
      </w:r>
      <w:r w:rsidRPr="00081C71">
        <w:t>libration and analysis data and procedures in accordance with manufacturers</w:t>
      </w:r>
      <w:r>
        <w:t>’</w:t>
      </w:r>
      <w:r w:rsidRPr="00081C71">
        <w:t xml:space="preserve"> data sheets. </w:t>
      </w:r>
    </w:p>
    <w:p w:rsidR="00000000" w:rsidRPr="00081C71" w:rsidP="005F7199">
      <w:pPr>
        <w:pStyle w:val="BodyText"/>
      </w:pPr>
      <w:r w:rsidRPr="00081C71">
        <w:t>Where soldering of components is required to advanced or military specifications, where the reliability of electrical connections is critical, or where surface moun</w:t>
      </w:r>
      <w:r w:rsidRPr="00081C71">
        <w:t xml:space="preserve">ted devices are being soldered/desoldered then unit MEM05002 Perform high reliability soldering and desoldering should also be selected. </w:t>
      </w:r>
    </w:p>
    <w:p w:rsidR="00000000" w:rsidRPr="00081C71" w:rsidP="005F7199">
      <w:pPr>
        <w:pStyle w:val="BodyText"/>
      </w:pPr>
      <w:r w:rsidRPr="00081C71">
        <w:t>Where diagnosis and repair of electronic equipment is undertaken to component level then unit MEM18056 Diagnose and r</w:t>
      </w:r>
      <w:r w:rsidRPr="00081C71">
        <w:t>epair analog equipment and components and unit MEM18065 Diagnose and repair digital equipment and components, should also be selected as appropriate.</w:t>
      </w:r>
    </w:p>
    <w:p w:rsidR="00000000" w:rsidRPr="00081C71" w:rsidP="005F7199">
      <w:pPr>
        <w:pStyle w:val="BodyText"/>
      </w:pPr>
      <w:r w:rsidRPr="00081C71">
        <w:t>No licensing, legislative or certification requirements apply to this unit at the time of publication.</w:t>
      </w:r>
    </w:p>
    <w:p w:rsidR="00000000" w:rsidRPr="00081C71" w:rsidP="00081C71">
      <w:pPr>
        <w:pStyle w:val="BodyText"/>
      </w:pPr>
      <w:r w:rsidRPr="00081C71">
        <w:rPr>
          <w:rStyle w:val="SpecialBold"/>
        </w:rPr>
        <w:t>B</w:t>
      </w:r>
      <w:r w:rsidRPr="00081C71">
        <w:rPr>
          <w:rStyle w:val="SpecialBold"/>
        </w:rPr>
        <w:t>and</w:t>
      </w:r>
      <w:r w:rsidRPr="00081C71">
        <w:t>:</w:t>
      </w:r>
      <w:r w:rsidRPr="00081C71">
        <w:tab/>
      </w:r>
      <w:r w:rsidRPr="00081C71">
        <w:rPr>
          <w:rStyle w:val="SpecialBold"/>
        </w:rPr>
        <w:t>B</w:t>
      </w:r>
    </w:p>
    <w:p w:rsidR="00000000" w:rsidRPr="00081C71" w:rsidP="00081C71">
      <w:pPr>
        <w:pStyle w:val="BodyText"/>
      </w:pPr>
      <w:r w:rsidRPr="00081C71">
        <w:rPr>
          <w:rStyle w:val="SpecialBold"/>
        </w:rPr>
        <w:t>Unit Weight</w:t>
      </w:r>
      <w:r w:rsidRPr="00081C71">
        <w:t>:</w:t>
      </w:r>
      <w:r w:rsidRPr="00081C71">
        <w:tab/>
      </w:r>
      <w:r w:rsidRPr="00081C71">
        <w:rPr>
          <w:rStyle w:val="SpecialBold"/>
        </w:rPr>
        <w:t>6</w:t>
      </w:r>
    </w:p>
    <w:p w:rsidR="00000000" w:rsidRPr="00081C71" w:rsidP="00081C71">
      <w:pPr>
        <w:pStyle w:val="AllowPageBreak"/>
      </w:pPr>
    </w:p>
    <w:p w:rsidR="00000000" w:rsidRPr="00081C71" w:rsidP="00081C71">
      <w:pPr>
        <w:pStyle w:val="Heading1"/>
      </w:pPr>
      <w:bookmarkStart w:id="3" w:name="O_941567"/>
      <w:bookmarkEnd w:id="3"/>
      <w:r w:rsidRPr="00081C7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8"/>
        <w:gridCol w:w="6592"/>
      </w:tblGrid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MEM09002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Interpret technical drawing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MEM11011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Undertake manual handling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MEM12023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Perform engineering measurements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MEM13015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Work safely and effectively in manufacturing and engineering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MEM16006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Organise and communicate information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MEM18001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Use hand tools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MEM18002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Use power tools/hand held operations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MEM18054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Fault find, test and calibrate instrumentation systems and equipment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MEM18055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Dismantle, replace and assemble engineering components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Plus, one or more of the following including their prerequisites: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MEM18062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Install, maintain and calibrate instrumentation sensors, transmitters and final control elements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MEM18064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BodyText"/>
            </w:pPr>
            <w:r w:rsidRPr="00081C71">
              <w:t>Maintain instrumentation system components</w:t>
            </w:r>
          </w:p>
        </w:tc>
      </w:tr>
    </w:tbl>
    <w:p w:rsidR="00000000" w:rsidRPr="00081C71" w:rsidP="00081C71">
      <w:pPr>
        <w:pStyle w:val="BodyText"/>
      </w:pPr>
    </w:p>
    <w:p w:rsidR="00000000" w:rsidRPr="00081C71" w:rsidP="00081C71">
      <w:pPr>
        <w:pStyle w:val="AllowPageBreak"/>
      </w:pPr>
    </w:p>
    <w:p w:rsidR="00000000" w:rsidRPr="00081C71" w:rsidP="00081C71">
      <w:pPr>
        <w:pStyle w:val="Heading1"/>
      </w:pPr>
      <w:bookmarkStart w:id="4" w:name="O_941566"/>
      <w:bookmarkEnd w:id="4"/>
      <w:r w:rsidRPr="00081C71">
        <w:t>Competency</w:t>
      </w:r>
      <w:r w:rsidRPr="00081C71">
        <w:t xml:space="preserve"> Field</w:t>
      </w:r>
    </w:p>
    <w:p w:rsidR="00000000" w:rsidRPr="00081C71" w:rsidP="005F7199">
      <w:pPr>
        <w:pStyle w:val="BodyText"/>
      </w:pPr>
      <w:r w:rsidRPr="00081C71">
        <w:t>Maintenance and diagnostics</w:t>
      </w:r>
    </w:p>
    <w:p w:rsidR="00000000" w:rsidRPr="00081C71" w:rsidP="00081C71">
      <w:pPr>
        <w:pStyle w:val="Heading1"/>
      </w:pPr>
      <w:bookmarkStart w:id="5" w:name="O_941564"/>
      <w:bookmarkEnd w:id="5"/>
      <w:r w:rsidRPr="00081C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Performance criteria describe the performance needed to demonstrate achievement of the element.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BodyText"/>
            </w:pPr>
            <w:r w:rsidRPr="00081C71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Follow standard operating procedures (SOPs)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Comply with work health and safety (WHS) requirements at all times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Use appropriate personal protective equipment (PPE) in accordance with SOPs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Identify job requirements from specifications, drawings, job sheets or work instructions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BodyText"/>
            </w:pPr>
            <w:r w:rsidRPr="00081C71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Perform preventative maintenance on process control analysers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Determine specification requirements from manufacturers</w:t>
            </w:r>
            <w:r>
              <w:t>’</w:t>
            </w:r>
            <w:r w:rsidRPr="00081C71">
              <w:t xml:space="preserve"> manuals, maintenance schedules and other relevant documents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Interpret and define specification requirements by applying principles of operation and process control analyser characteristics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Perform preventative maintenance schedules on process control analysers to service and maintain analysers within defined specifications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Diagnose specified process control analysers within the system or within the laboratory to determine correct operation or malfunction using appropriate electrical and electronic test equipment, techniques, data and procedures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Identify and confirm fa</w:t>
            </w:r>
            <w:r w:rsidRPr="00081C71">
              <w:t>ults and malfunctions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BodyText"/>
            </w:pPr>
            <w:r w:rsidRPr="00081C71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Complete fault documentation and plan corrective action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Document or report faults and malfunctions according to SOPs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Plan corrective action autonomously or in consultation with appropriate personnel and action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BodyText"/>
            </w:pPr>
            <w:r w:rsidRPr="00081C71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Repair, replace, overhaul process control analysers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 xml:space="preserve">Examine process control analysers and verify for repair, replacement or overhaul 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Select replacement items from manufacturers</w:t>
            </w:r>
            <w:r>
              <w:t>’</w:t>
            </w:r>
            <w:r w:rsidRPr="00081C71">
              <w:t xml:space="preserve"> parts lists or catalogues according to specifications 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Repair or overhaul faulty items using appropriate principles, techniques, tools, equipment and procedures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 xml:space="preserve">Refit repaired, overhauled and replacement process control analysers 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Prepare refitted process control analysers for testing and calibra</w:t>
            </w:r>
            <w:r w:rsidRPr="00081C71">
              <w:t>tion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BodyText"/>
            </w:pPr>
            <w:r w:rsidRPr="00081C71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Calibrate and test process control analysers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Calibrate process control analysers against appropriate physical standards using correct calibration devices, equipment, techniques and procedures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Test calibrated process control analysers using appropriate test equipment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Collect and interpret calibration and analysis data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Assess calibration and analysis data in accordance with manufacturers</w:t>
            </w:r>
            <w:r>
              <w:t>’</w:t>
            </w:r>
            <w:r w:rsidRPr="00081C71">
              <w:t xml:space="preserve"> data sheets, codes of practice and safety procedures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BodyText"/>
            </w:pPr>
            <w:r w:rsidRPr="00081C71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Re-install and recommission process control analysers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Put process control analysers into service to specifications with due regard to process requirements, codes of practice, safety, commissioning procedures and techniques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BodyText"/>
            </w:pPr>
            <w:r w:rsidRPr="00081C71">
              <w:t>Complete service reports in accordance with SOPs</w:t>
            </w:r>
          </w:p>
        </w:tc>
      </w:tr>
    </w:tbl>
    <w:p w:rsidR="00000000" w:rsidRPr="00081C71" w:rsidP="00081C71">
      <w:pPr>
        <w:pStyle w:val="BodyText"/>
      </w:pPr>
    </w:p>
    <w:p w:rsidR="00000000" w:rsidRPr="00081C71" w:rsidP="00081C71">
      <w:pPr>
        <w:pStyle w:val="AllowPageBreak"/>
      </w:pPr>
    </w:p>
    <w:p w:rsidR="00000000" w:rsidRPr="00081C71" w:rsidP="00081C71">
      <w:pPr>
        <w:pStyle w:val="Heading1"/>
      </w:pPr>
      <w:bookmarkStart w:id="6" w:name="O_941563"/>
      <w:bookmarkEnd w:id="6"/>
      <w:r w:rsidRPr="00081C71">
        <w:t>Foundation S</w:t>
      </w:r>
      <w:r w:rsidRPr="00081C71">
        <w:t>kills</w:t>
      </w:r>
    </w:p>
    <w:p w:rsidR="00000000" w:rsidRPr="00081C71" w:rsidP="005F7199">
      <w:pPr>
        <w:pStyle w:val="BodyText"/>
      </w:pPr>
      <w:r w:rsidRPr="00081C7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81C71" w:rsidP="005F7199">
      <w:pPr>
        <w:pStyle w:val="BodyText"/>
      </w:pPr>
      <w:r w:rsidRPr="00081C71">
        <w:t>Foundation skills essential to performance are explicit in the performance cri</w:t>
      </w:r>
      <w:r w:rsidRPr="00081C71">
        <w:t>teria of this unit of competency.</w:t>
      </w:r>
    </w:p>
    <w:p w:rsidR="00000000" w:rsidRPr="00081C71" w:rsidP="00081C71">
      <w:pPr>
        <w:pStyle w:val="Heading1"/>
      </w:pPr>
      <w:bookmarkStart w:id="7" w:name="O_941562"/>
      <w:bookmarkEnd w:id="7"/>
      <w:r w:rsidRPr="00081C7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t xml:space="preserve">This field allows for different work environments and conditions that may affect performance. Essential operating conditions that may be present </w:t>
            </w:r>
            <w:r w:rsidRPr="00081C71">
              <w:t>(depending on the work situation, needs of the candidate, accessibility of the item, and local industry and regional contexts) are included.</w:t>
            </w: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Tasks include the use of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ListBullet"/>
            </w:pPr>
            <w:r w:rsidRPr="00081C71">
              <w:t>hygrometers</w:t>
            </w:r>
          </w:p>
          <w:p w:rsidR="00000000" w:rsidRPr="00081C71" w:rsidP="00081C71">
            <w:pPr>
              <w:pStyle w:val="ListBullet"/>
            </w:pPr>
            <w:r w:rsidRPr="00081C71">
              <w:t xml:space="preserve">wet and dry bulb </w:t>
            </w:r>
          </w:p>
          <w:p w:rsidR="00000000" w:rsidRPr="00081C71" w:rsidP="00081C71">
            <w:pPr>
              <w:pStyle w:val="ListBullet"/>
            </w:pPr>
            <w:r w:rsidRPr="00081C71">
              <w:t>calibration of gas cyli</w:t>
            </w:r>
            <w:r w:rsidRPr="00081C71">
              <w:t>nders and gas supply equipment</w:t>
            </w:r>
          </w:p>
          <w:p w:rsidR="00000000" w:rsidRPr="00081C71" w:rsidP="00081C71">
            <w:pPr>
              <w:pStyle w:val="ListBullet"/>
            </w:pPr>
            <w:r w:rsidRPr="00081C71">
              <w:t xml:space="preserve">the use of chemical calibration solutions </w:t>
            </w:r>
          </w:p>
          <w:p w:rsidR="00000000" w:rsidRPr="00081C71" w:rsidP="00081C71">
            <w:pPr>
              <w:pStyle w:val="ListBullet"/>
            </w:pPr>
            <w:r w:rsidRPr="00081C71">
              <w:t>the use of special calibration devices specific to chemical detectors</w:t>
            </w:r>
          </w:p>
          <w:p w:rsidR="00000000" w:rsidRPr="00081C71" w:rsidP="00081C71">
            <w:pPr>
              <w:pStyle w:val="ListBullet"/>
            </w:pPr>
            <w:r w:rsidRPr="00081C71">
              <w:t>gas analysis devices</w:t>
            </w:r>
          </w:p>
          <w:p w:rsidR="00000000" w:rsidRPr="00081C71" w:rsidP="00081C71">
            <w:pPr>
              <w:pStyle w:val="ListBullet"/>
            </w:pPr>
            <w:r w:rsidRPr="00081C71">
              <w:t>liquid analysis devices</w:t>
            </w:r>
          </w:p>
          <w:p w:rsidR="00000000" w:rsidP="00081C71">
            <w:pPr>
              <w:pStyle w:val="BodyText"/>
              <w:rPr>
                <w:lang w:val="en-NZ"/>
              </w:rPr>
            </w:pPr>
          </w:p>
        </w:tc>
      </w:tr>
      <w:tr w:rsidTr="00081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C71">
            <w:pPr>
              <w:pStyle w:val="BodyText"/>
              <w:rPr>
                <w:lang w:val="en-NZ"/>
              </w:rPr>
            </w:pPr>
            <w:r w:rsidRPr="00081C71">
              <w:rPr>
                <w:rStyle w:val="SpecialBold"/>
              </w:rPr>
              <w:t>Safety codes of practice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C71" w:rsidP="00081C71">
            <w:pPr>
              <w:pStyle w:val="ListBullet"/>
            </w:pPr>
            <w:r w:rsidRPr="00081C71">
              <w:t>identification handling and appropriate use of high pressure gas cylinders</w:t>
            </w:r>
          </w:p>
          <w:p w:rsidR="00000000" w:rsidRPr="00081C71" w:rsidP="00081C71">
            <w:pPr>
              <w:pStyle w:val="ListBullet"/>
            </w:pPr>
            <w:r w:rsidRPr="00081C71">
              <w:t xml:space="preserve">equipment </w:t>
            </w:r>
          </w:p>
          <w:p w:rsidR="00000000" w:rsidRPr="00081C71" w:rsidP="00081C71">
            <w:pPr>
              <w:pStyle w:val="ListBullet"/>
            </w:pPr>
            <w:r w:rsidRPr="00081C71">
              <w:t>chemical solutions</w:t>
            </w:r>
          </w:p>
          <w:p w:rsidR="00000000" w:rsidRPr="00081C71" w:rsidP="00081C71">
            <w:pPr>
              <w:pStyle w:val="BodyText"/>
            </w:pPr>
          </w:p>
        </w:tc>
      </w:tr>
    </w:tbl>
    <w:p w:rsidR="00000000" w:rsidRPr="00081C71" w:rsidP="00081C71">
      <w:pPr>
        <w:pStyle w:val="BodyText"/>
      </w:pPr>
    </w:p>
    <w:p w:rsidR="00000000" w:rsidRPr="00081C71" w:rsidP="00081C71">
      <w:pPr>
        <w:pStyle w:val="AllowPageBreak"/>
      </w:pPr>
    </w:p>
    <w:p w:rsidR="00000000" w:rsidRPr="00081C71" w:rsidP="00081C71">
      <w:pPr>
        <w:pStyle w:val="Heading1"/>
      </w:pPr>
      <w:bookmarkStart w:id="8" w:name="O_941561"/>
      <w:bookmarkEnd w:id="8"/>
      <w:r w:rsidRPr="00081C71">
        <w:t>Unit Mapping Information</w:t>
      </w:r>
    </w:p>
    <w:p w:rsidR="00000000" w:rsidRPr="00081C71" w:rsidP="005F7199">
      <w:pPr>
        <w:pStyle w:val="BodyText"/>
      </w:pPr>
      <w:r w:rsidRPr="00081C71">
        <w:t>Release 1. Supersedes and is equivale</w:t>
      </w:r>
      <w:r w:rsidRPr="00081C71">
        <w:t>nt to MEM18069B Maintain, repair instrumentation process control analysers</w:t>
      </w:r>
    </w:p>
    <w:p w:rsidR="00000000" w:rsidRPr="00081C71" w:rsidP="00081C71">
      <w:pPr>
        <w:pStyle w:val="Heading1"/>
      </w:pPr>
      <w:bookmarkStart w:id="9" w:name="O_941554"/>
      <w:bookmarkEnd w:id="9"/>
      <w:r w:rsidRPr="00081C71">
        <w:t>Links</w:t>
      </w:r>
    </w:p>
    <w:p w:rsidR="00000000" w:rsidRPr="00081C71" w:rsidP="005F7199">
      <w:pPr>
        <w:pStyle w:val="BodyText"/>
      </w:pPr>
      <w:r w:rsidRPr="00081C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155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1C71" w:rsidP="00081C71"/>
    <w:sectPr w:rsidSect="00081C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71" w:rsidRPr="005F7199" w:rsidP="005F7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99" w:rsidP="00081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199" w:rsidP="00081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7199" w:rsidP="00081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C71" w:rsidRPr="005F7199" w:rsidP="005F7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99" w:rsidRPr="002D2AF8" w:rsidP="00081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MEM18069 Maintain, repair instrumentation process control analysers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F7199" w:rsidP="00081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083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04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C71"/>
  </w:style>
  <w:style w:type="character" w:customStyle="1" w:styleId="Heading1Char">
    <w:name w:val="Heading 1 Char"/>
    <w:basedOn w:val="DefaultParagraphFont"/>
    <w:link w:val="Heading1"/>
    <w:rsid w:val="00081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C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C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C71"/>
    <w:rPr>
      <w:b/>
      <w:spacing w:val="0"/>
    </w:rPr>
  </w:style>
  <w:style w:type="paragraph" w:customStyle="1" w:styleId="SuperHeading">
    <w:name w:val="SuperHeading"/>
    <w:basedOn w:val="Normal"/>
    <w:rsid w:val="00081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C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C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C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C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C71"/>
    <w:rPr>
      <w:i/>
    </w:rPr>
  </w:style>
  <w:style w:type="paragraph" w:styleId="Caption">
    <w:name w:val="caption"/>
    <w:basedOn w:val="BodyText"/>
    <w:next w:val="Normal"/>
    <w:qFormat/>
    <w:rsid w:val="00081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C71"/>
  </w:style>
  <w:style w:type="paragraph" w:styleId="TableofFigures">
    <w:name w:val="table of figures"/>
    <w:basedOn w:val="Normal"/>
    <w:next w:val="Normal"/>
    <w:semiHidden/>
    <w:rsid w:val="00081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C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C71"/>
    <w:rPr>
      <w:rFonts w:ascii="Wingdings" w:hAnsi="Wingdings"/>
    </w:rPr>
  </w:style>
  <w:style w:type="paragraph" w:customStyle="1" w:styleId="TableHeading">
    <w:name w:val="Table Heading"/>
    <w:basedOn w:val="HeadingBase"/>
    <w:rsid w:val="00081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C71"/>
    <w:rPr>
      <w:color w:val="0033CC"/>
      <w:u w:val="none"/>
    </w:rPr>
  </w:style>
  <w:style w:type="paragraph" w:customStyle="1" w:styleId="BodyTextRight">
    <w:name w:val="Body Text Right"/>
    <w:basedOn w:val="BodyText"/>
    <w:rsid w:val="00081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C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C71"/>
    <w:rPr>
      <w:sz w:val="32"/>
    </w:rPr>
  </w:style>
  <w:style w:type="paragraph" w:customStyle="1" w:styleId="HeadingProcedure">
    <w:name w:val="Heading Procedure"/>
    <w:basedOn w:val="HeadingBase"/>
    <w:next w:val="Normal"/>
    <w:rsid w:val="00081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C71"/>
    <w:pPr>
      <w:spacing w:before="60" w:after="60"/>
    </w:pPr>
  </w:style>
  <w:style w:type="paragraph" w:styleId="ListContinue">
    <w:name w:val="List Continue"/>
    <w:basedOn w:val="List"/>
    <w:rsid w:val="00081C71"/>
    <w:pPr>
      <w:ind w:firstLine="0"/>
    </w:pPr>
  </w:style>
  <w:style w:type="paragraph" w:customStyle="1" w:styleId="ListNote">
    <w:name w:val="List Note"/>
    <w:basedOn w:val="List"/>
    <w:rsid w:val="00081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C71"/>
    <w:rPr>
      <w:rFonts w:ascii="Courier New" w:hAnsi="Courier New"/>
    </w:rPr>
  </w:style>
  <w:style w:type="paragraph" w:customStyle="1" w:styleId="NoteBullet">
    <w:name w:val="Note Bullet"/>
    <w:basedOn w:val="Note"/>
    <w:rsid w:val="00081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C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C71"/>
    <w:rPr>
      <w:b/>
      <w:smallCaps/>
    </w:rPr>
  </w:style>
  <w:style w:type="paragraph" w:customStyle="1" w:styleId="TableListNumber">
    <w:name w:val="Table List Number"/>
    <w:basedOn w:val="ListNumber"/>
    <w:rsid w:val="00081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C71"/>
    <w:pPr>
      <w:numPr>
        <w:numId w:val="8"/>
      </w:numPr>
    </w:pPr>
  </w:style>
  <w:style w:type="paragraph" w:customStyle="1" w:styleId="ListAlpha2">
    <w:name w:val="List Alpha 2"/>
    <w:basedOn w:val="List2"/>
    <w:rsid w:val="00081C71"/>
    <w:pPr>
      <w:numPr>
        <w:numId w:val="7"/>
      </w:numPr>
    </w:pPr>
  </w:style>
  <w:style w:type="paragraph" w:styleId="List2">
    <w:name w:val="List 2"/>
    <w:basedOn w:val="BodyText"/>
    <w:rsid w:val="00081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C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C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C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C71"/>
    <w:pPr>
      <w:numPr>
        <w:numId w:val="3"/>
      </w:numPr>
    </w:pPr>
  </w:style>
  <w:style w:type="paragraph" w:styleId="ListContinue2">
    <w:name w:val="List Continue 2"/>
    <w:basedOn w:val="List2"/>
    <w:rsid w:val="00081C71"/>
    <w:pPr>
      <w:ind w:firstLine="0"/>
    </w:pPr>
  </w:style>
  <w:style w:type="paragraph" w:styleId="ListContinue3">
    <w:name w:val="List Continue 3"/>
    <w:basedOn w:val="List3"/>
    <w:rsid w:val="00081C71"/>
    <w:pPr>
      <w:ind w:left="1021" w:firstLine="0"/>
    </w:pPr>
  </w:style>
  <w:style w:type="paragraph" w:styleId="ListContinue4">
    <w:name w:val="List Continue 4"/>
    <w:basedOn w:val="List4"/>
    <w:rsid w:val="00081C71"/>
    <w:pPr>
      <w:ind w:firstLine="0"/>
    </w:pPr>
  </w:style>
  <w:style w:type="paragraph" w:styleId="ListContinue5">
    <w:name w:val="List Continue 5"/>
    <w:basedOn w:val="List5"/>
    <w:rsid w:val="00081C71"/>
    <w:pPr>
      <w:ind w:firstLine="0"/>
    </w:pPr>
  </w:style>
  <w:style w:type="paragraph" w:styleId="ListNumber3">
    <w:name w:val="List Number 3"/>
    <w:basedOn w:val="List3"/>
    <w:rsid w:val="00081C71"/>
    <w:pPr>
      <w:numPr>
        <w:numId w:val="4"/>
      </w:numPr>
    </w:pPr>
  </w:style>
  <w:style w:type="paragraph" w:styleId="ListNumber4">
    <w:name w:val="List Number 4"/>
    <w:basedOn w:val="List4"/>
    <w:rsid w:val="00081C71"/>
    <w:pPr>
      <w:numPr>
        <w:numId w:val="5"/>
      </w:numPr>
    </w:pPr>
  </w:style>
  <w:style w:type="paragraph" w:styleId="ListNumber5">
    <w:name w:val="List Number 5"/>
    <w:basedOn w:val="List5"/>
    <w:rsid w:val="00081C71"/>
    <w:pPr>
      <w:numPr>
        <w:numId w:val="6"/>
      </w:numPr>
    </w:pPr>
  </w:style>
  <w:style w:type="paragraph" w:styleId="BlockText">
    <w:name w:val="Block Text"/>
    <w:basedOn w:val="Normal"/>
    <w:rsid w:val="00081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C71"/>
    <w:rPr>
      <w:sz w:val="16"/>
      <w:vertAlign w:val="superscript"/>
    </w:rPr>
  </w:style>
  <w:style w:type="character" w:customStyle="1" w:styleId="Symbols">
    <w:name w:val="Symbols"/>
    <w:basedOn w:val="DefaultParagraphFont"/>
    <w:rsid w:val="00081C71"/>
    <w:rPr>
      <w:rFonts w:ascii="Symbol" w:hAnsi="Symbol"/>
    </w:rPr>
  </w:style>
  <w:style w:type="character" w:customStyle="1" w:styleId="MenuOptions">
    <w:name w:val="Menu Options"/>
    <w:basedOn w:val="DefaultParagraphFont"/>
    <w:rsid w:val="00081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C71"/>
    <w:rPr>
      <w:b/>
    </w:rPr>
  </w:style>
  <w:style w:type="character" w:customStyle="1" w:styleId="Underlined">
    <w:name w:val="Underlined"/>
    <w:basedOn w:val="DefaultParagraphFont"/>
    <w:rsid w:val="00081C71"/>
    <w:rPr>
      <w:u w:val="single"/>
    </w:rPr>
  </w:style>
  <w:style w:type="paragraph" w:customStyle="1" w:styleId="TableBodyTextRight">
    <w:name w:val="Table Body Text Right"/>
    <w:basedOn w:val="TableBodyText"/>
    <w:rsid w:val="00081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C71"/>
    <w:rPr>
      <w:sz w:val="18"/>
    </w:rPr>
  </w:style>
  <w:style w:type="paragraph" w:customStyle="1" w:styleId="BodySmallRight">
    <w:name w:val="Body Small Right"/>
    <w:basedOn w:val="BodyTextRight"/>
    <w:rsid w:val="00081C71"/>
    <w:rPr>
      <w:sz w:val="18"/>
      <w:szCs w:val="18"/>
    </w:rPr>
  </w:style>
  <w:style w:type="paragraph" w:customStyle="1" w:styleId="MarginEdition">
    <w:name w:val="Margin Edition"/>
    <w:basedOn w:val="MarginNote"/>
    <w:rsid w:val="00081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C71"/>
    <w:rPr>
      <w:sz w:val="2"/>
      <w:szCs w:val="2"/>
    </w:rPr>
  </w:style>
  <w:style w:type="character" w:customStyle="1" w:styleId="Small">
    <w:name w:val="Small"/>
    <w:basedOn w:val="DefaultParagraphFont"/>
    <w:rsid w:val="00081C71"/>
    <w:rPr>
      <w:sz w:val="16"/>
    </w:rPr>
  </w:style>
  <w:style w:type="paragraph" w:customStyle="1" w:styleId="WideTable">
    <w:name w:val="Wide Table"/>
    <w:basedOn w:val="Normal"/>
    <w:rsid w:val="00081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C71"/>
  </w:style>
  <w:style w:type="paragraph" w:styleId="Quote">
    <w:name w:val="Quote"/>
    <w:basedOn w:val="Heading1"/>
    <w:link w:val="QuoteChar"/>
    <w:qFormat/>
    <w:rsid w:val="00081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C71"/>
    <w:pPr>
      <w:pageBreakBefore/>
    </w:pPr>
  </w:style>
  <w:style w:type="paragraph" w:customStyle="1" w:styleId="Border">
    <w:name w:val="Border"/>
    <w:basedOn w:val="Normal"/>
    <w:qFormat/>
    <w:rsid w:val="00081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C71"/>
    <w:rPr>
      <w:u w:val="single"/>
    </w:rPr>
  </w:style>
  <w:style w:type="character" w:customStyle="1" w:styleId="BoldandItalics">
    <w:name w:val="Bold and Italics"/>
    <w:qFormat/>
    <w:rsid w:val="00081C71"/>
    <w:rPr>
      <w:b/>
      <w:i/>
      <w:u w:val="none"/>
    </w:rPr>
  </w:style>
  <w:style w:type="paragraph" w:styleId="BalloonText">
    <w:name w:val="Balloon Text"/>
    <w:basedOn w:val="Normal"/>
    <w:link w:val="BalloonTextChar"/>
    <w:rsid w:val="00081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C71"/>
    <w:pPr>
      <w:spacing w:before="0" w:after="0"/>
    </w:pPr>
  </w:style>
  <w:style w:type="paragraph" w:customStyle="1" w:styleId="BodyTextBold">
    <w:name w:val="Body Text Bold"/>
    <w:basedOn w:val="BodyText"/>
    <w:qFormat/>
    <w:rsid w:val="00081C71"/>
    <w:rPr>
      <w:b/>
    </w:rPr>
  </w:style>
  <w:style w:type="character" w:styleId="Hyperlink">
    <w:name w:val="Hyperlink"/>
    <w:basedOn w:val="DefaultParagraphFont"/>
    <w:uiPriority w:val="99"/>
    <w:unhideWhenUsed/>
    <w:rsid w:val="005F7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5776</Characters>
  <Application>Microsoft Office Word</Application>
  <DocSecurity>0</DocSecurity>
  <Lines>262</Lines>
  <Paragraphs>141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MEM18069 Maintain, repair instrumentation process control analysers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