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78FD" w:rsidP="00197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MEM18066 Diagnose and repair microprocessor-based equipment</w:t>
      </w:r>
      <w:r>
        <w:fldChar w:fldCharType="end"/>
      </w:r>
    </w:p>
    <w:p w:rsidR="001978FD" w:rsidP="001978FD">
      <w:pPr>
        <w:pStyle w:val="Version"/>
        <w:sectPr w:rsidSect="007122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22C5" w:rsidP="007122C5">
      <w:pPr>
        <w:pStyle w:val="SuperHeading"/>
      </w:pPr>
      <w:r w:rsidRPr="007122C5">
        <w:t>MEM18066 Diagnose and repair microprocessor-based equipment</w:t>
      </w:r>
    </w:p>
    <w:p w:rsidR="00000000" w:rsidRPr="007122C5" w:rsidP="007122C5">
      <w:pPr>
        <w:pStyle w:val="Heading1"/>
      </w:pPr>
      <w:bookmarkStart w:id="1" w:name="O_941522"/>
      <w:bookmarkEnd w:id="1"/>
      <w:r w:rsidRPr="007122C5">
        <w:t>Modification History</w:t>
      </w:r>
    </w:p>
    <w:p w:rsidR="00000000" w:rsidRPr="007122C5" w:rsidP="001978FD">
      <w:pPr>
        <w:pStyle w:val="BodyText"/>
      </w:pPr>
      <w:r w:rsidRPr="007122C5">
        <w:t xml:space="preserve">Release 1. Supersedes and is equivalent to MEM18066B Diagnose and repair microprocessor-based equipment </w:t>
      </w:r>
    </w:p>
    <w:p w:rsidR="00000000" w:rsidRPr="007122C5" w:rsidP="007122C5">
      <w:pPr>
        <w:pStyle w:val="Heading1"/>
      </w:pPr>
      <w:bookmarkStart w:id="2" w:name="O_941530"/>
      <w:bookmarkEnd w:id="2"/>
      <w:r w:rsidRPr="007122C5">
        <w:t>Application</w:t>
      </w:r>
    </w:p>
    <w:p w:rsidR="00000000" w:rsidRPr="007122C5" w:rsidP="001978FD">
      <w:pPr>
        <w:pStyle w:val="BodyText"/>
      </w:pPr>
      <w:r w:rsidRPr="007122C5">
        <w:t>This unit of competency defines the skills and knowledge required to locate, replace/</w:t>
      </w:r>
      <w:r w:rsidRPr="007122C5">
        <w:t>repair faulty components in microprocessor-based equipment.</w:t>
      </w:r>
    </w:p>
    <w:p w:rsidR="00000000" w:rsidRPr="007122C5" w:rsidP="001978FD">
      <w:pPr>
        <w:pStyle w:val="BodyText"/>
      </w:pPr>
      <w:r w:rsidRPr="007122C5">
        <w:t xml:space="preserve">It applies to situations in which the individual has sufficient information and access to microprocessor components to diagnose the functioning of elements within the microprocessor and requires </w:t>
      </w:r>
      <w:r w:rsidRPr="007122C5">
        <w:t>an understanding of machine and assembly language and address and bus systems.</w:t>
      </w:r>
    </w:p>
    <w:p w:rsidR="00000000" w:rsidRPr="007122C5" w:rsidP="001978FD">
      <w:pPr>
        <w:pStyle w:val="BodyText"/>
      </w:pPr>
      <w:r w:rsidRPr="007122C5">
        <w:t>Where diagnosis of analog components is required unit MEM18056 Diagnose and repair analog equipment and components should also be selected.</w:t>
      </w:r>
    </w:p>
    <w:p w:rsidR="00000000" w:rsidRPr="007122C5" w:rsidP="001978FD">
      <w:pPr>
        <w:pStyle w:val="BodyText"/>
      </w:pPr>
      <w:r w:rsidRPr="007122C5">
        <w:t xml:space="preserve">Where routine fault finding within </w:t>
      </w:r>
      <w:r w:rsidRPr="007122C5">
        <w:t>microprocessor systems is required unit MEM18057 Maintain/service analog/digital electronic equipment should also be selected.</w:t>
      </w:r>
    </w:p>
    <w:p w:rsidR="00000000" w:rsidRPr="007122C5" w:rsidP="001978FD">
      <w:pPr>
        <w:pStyle w:val="BodyText"/>
      </w:pPr>
      <w:r w:rsidRPr="007122C5">
        <w:t>No licensing, legislative or certification requirements apply to this unit at the time of publication.</w:t>
      </w:r>
    </w:p>
    <w:p w:rsidR="00000000" w:rsidRPr="007122C5" w:rsidP="001978FD">
      <w:pPr>
        <w:pStyle w:val="Heading3"/>
      </w:pPr>
      <w:r w:rsidRPr="007122C5">
        <w:rPr>
          <w:rStyle w:val="SpecialBold"/>
        </w:rPr>
        <w:t>Band: B</w:t>
      </w:r>
    </w:p>
    <w:p w:rsidR="00000000" w:rsidRPr="007122C5" w:rsidP="001978FD">
      <w:pPr>
        <w:pStyle w:val="Heading3"/>
      </w:pPr>
      <w:r w:rsidRPr="007122C5">
        <w:rPr>
          <w:rStyle w:val="SpecialBold"/>
        </w:rPr>
        <w:t>Unit Weight</w:t>
      </w:r>
      <w:r w:rsidRPr="007122C5">
        <w:t>:</w:t>
      </w:r>
      <w:r w:rsidRPr="007122C5">
        <w:tab/>
      </w:r>
      <w:r w:rsidRPr="007122C5">
        <w:rPr>
          <w:rStyle w:val="SpecialBold"/>
        </w:rPr>
        <w:t>6</w:t>
      </w:r>
    </w:p>
    <w:p w:rsidR="00000000" w:rsidRPr="007122C5" w:rsidP="007122C5">
      <w:pPr>
        <w:pStyle w:val="Heading1"/>
      </w:pPr>
      <w:bookmarkStart w:id="3" w:name="O_941529"/>
      <w:bookmarkEnd w:id="3"/>
      <w:r w:rsidRPr="007122C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MEM05001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Perform manual soldering/desoldering - electrical/electronic components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Interpret technical drawing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Undertake manual handling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MEM12004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Perform precision electrical/electronic measurement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Perform engineering measurements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Work safely and effectively in manufacturing and engineering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Organise and communicate information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Use hand tools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MEM18057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Maintain/service analog/digital electronic equipment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MEM18065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2C5" w:rsidP="007122C5">
            <w:pPr>
              <w:pStyle w:val="BodyText"/>
            </w:pPr>
            <w:r w:rsidRPr="007122C5">
              <w:t>Diagnose and repair digital equipment and components</w:t>
            </w:r>
          </w:p>
        </w:tc>
      </w:tr>
    </w:tbl>
    <w:p w:rsidR="00000000" w:rsidRPr="007122C5" w:rsidP="007122C5">
      <w:pPr>
        <w:pStyle w:val="BodyText"/>
      </w:pPr>
    </w:p>
    <w:p w:rsidR="00000000" w:rsidRPr="007122C5" w:rsidP="007122C5">
      <w:pPr>
        <w:pStyle w:val="AllowPageBreak"/>
      </w:pPr>
    </w:p>
    <w:p w:rsidR="00000000" w:rsidRPr="007122C5" w:rsidP="007122C5">
      <w:pPr>
        <w:pStyle w:val="Heading1"/>
      </w:pPr>
      <w:bookmarkStart w:id="4" w:name="O_941528"/>
      <w:bookmarkEnd w:id="4"/>
      <w:r w:rsidRPr="007122C5">
        <w:t>Competency Field</w:t>
      </w:r>
    </w:p>
    <w:p w:rsidR="00000000" w:rsidRPr="007122C5" w:rsidP="001978FD">
      <w:pPr>
        <w:pStyle w:val="BodyText"/>
      </w:pPr>
      <w:r w:rsidRPr="007122C5">
        <w:t>Maintenance and diagnostics</w:t>
      </w:r>
    </w:p>
    <w:p w:rsidR="00000000" w:rsidRPr="007122C5" w:rsidP="007122C5">
      <w:pPr>
        <w:pStyle w:val="Heading1"/>
      </w:pPr>
      <w:bookmarkStart w:id="5" w:name="O_941526"/>
      <w:bookmarkEnd w:id="5"/>
      <w:r w:rsidRPr="007122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Performance criteria describe the pe</w:t>
            </w:r>
            <w:r w:rsidRPr="007122C5">
              <w:t>rformance needed to demonstrate achievement of the element.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2C5" w:rsidP="007122C5">
            <w:pPr>
              <w:pStyle w:val="BodyText"/>
            </w:pPr>
            <w:r w:rsidRPr="007122C5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Follow standard operating procedures (SOPs)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Comply with work health and safety (WHS) requirements at all times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Use appropriate personal protective equipment (PPE) in accordance with SOPs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Identify job requirements from specifications, drawings, job sheets or work instructions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2C5" w:rsidP="007122C5">
            <w:pPr>
              <w:pStyle w:val="BodyText"/>
            </w:pPr>
            <w:r w:rsidRPr="007122C5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rPr>
                <w:rStyle w:val="SpecialBold"/>
              </w:rPr>
              <w:t>Locate fault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Determine equipment function and principles by reference to schematics, circuit diagrams, flow charts and equipment manuals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Run built-in test functions and interpret results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 xml:space="preserve">Reproduce fault symptoms and verify using fault-finding techniques 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 xml:space="preserve">Identify faulty or defect component/s and/or isolate fault cause 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2C5" w:rsidP="007122C5">
            <w:pPr>
              <w:pStyle w:val="BodyText"/>
            </w:pPr>
            <w:r w:rsidRPr="007122C5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rPr>
                <w:rStyle w:val="SpecialBold"/>
              </w:rPr>
              <w:t>Replace/repair faulty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Remove faulty component using and appropriate tools and techniques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Repair/replace faulty component/s in accordance with site/manufacturers</w:t>
            </w:r>
            <w:r>
              <w:t>’</w:t>
            </w:r>
            <w:r w:rsidRPr="007122C5">
              <w:t xml:space="preserve"> recommended procedures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 xml:space="preserve">Re-fit repaired/replaced component/s 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2C5" w:rsidP="007122C5">
            <w:pPr>
              <w:pStyle w:val="BodyText"/>
            </w:pPr>
            <w:r w:rsidRPr="007122C5">
              <w:t xml:space="preserve">Check and test equipment for compliance to specifications utilising correct and appropriate test procedures </w:t>
            </w:r>
            <w:r w:rsidRPr="007122C5">
              <w:t>and equipment</w:t>
            </w:r>
          </w:p>
        </w:tc>
      </w:tr>
    </w:tbl>
    <w:p w:rsidR="00000000" w:rsidRPr="007122C5" w:rsidP="007122C5">
      <w:pPr>
        <w:pStyle w:val="BodyText"/>
      </w:pPr>
    </w:p>
    <w:p w:rsidR="00000000" w:rsidRPr="007122C5" w:rsidP="007122C5">
      <w:pPr>
        <w:pStyle w:val="AllowPageBreak"/>
      </w:pPr>
    </w:p>
    <w:p w:rsidR="00000000" w:rsidRPr="007122C5" w:rsidP="007122C5">
      <w:pPr>
        <w:pStyle w:val="Heading1"/>
      </w:pPr>
      <w:bookmarkStart w:id="6" w:name="O_941525"/>
      <w:bookmarkEnd w:id="6"/>
      <w:r w:rsidRPr="007122C5">
        <w:t>Foundation Skills</w:t>
      </w:r>
    </w:p>
    <w:p w:rsidR="00000000" w:rsidRPr="007122C5" w:rsidP="001978FD">
      <w:pPr>
        <w:pStyle w:val="BodyText"/>
      </w:pPr>
      <w:r w:rsidRPr="007122C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122C5" w:rsidP="001978FD">
      <w:pPr>
        <w:pStyle w:val="BodyText"/>
      </w:pPr>
      <w:r w:rsidRPr="007122C5">
        <w:t>Foundation skills essential to performance are explicit in the performance criteria of this unit of competency.</w:t>
      </w:r>
    </w:p>
    <w:p w:rsidR="00000000" w:rsidRPr="007122C5" w:rsidP="007122C5">
      <w:pPr>
        <w:pStyle w:val="Heading1"/>
      </w:pPr>
      <w:bookmarkStart w:id="7" w:name="O_941524"/>
      <w:bookmarkEnd w:id="7"/>
      <w:r w:rsidRPr="007122C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t>This field allows for different work environments and conditions that may affect performance. Essential ope</w:t>
            </w:r>
            <w:r w:rsidRPr="007122C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rPr>
                <w:rStyle w:val="SpecialBold"/>
              </w:rPr>
              <w:t>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2C5" w:rsidP="007122C5">
            <w:pPr>
              <w:pStyle w:val="ListBullet"/>
            </w:pPr>
            <w:r w:rsidRPr="007122C5">
              <w:t>digital hardware</w:t>
            </w:r>
          </w:p>
          <w:p w:rsidR="00000000" w:rsidRPr="007122C5" w:rsidP="007122C5">
            <w:pPr>
              <w:pStyle w:val="ListBullet"/>
            </w:pPr>
            <w:r w:rsidRPr="007122C5">
              <w:t>sub-</w:t>
            </w:r>
            <w:r w:rsidRPr="007122C5">
              <w:t xml:space="preserve">assemblies of systems </w:t>
            </w:r>
          </w:p>
          <w:p w:rsidR="00000000" w:rsidP="007122C5">
            <w:pPr>
              <w:pStyle w:val="ListBullet"/>
              <w:rPr>
                <w:lang w:val="en-NZ"/>
              </w:rPr>
            </w:pPr>
            <w:r w:rsidRPr="007122C5">
              <w:t xml:space="preserve">discrete equipment used in computer, communication, consumer audio/video, electronic appliances, scanning systems, security/fire systems, power supplies and test equipment 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3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rPr>
                <w:rStyle w:val="SpecialBold"/>
              </w:rPr>
              <w:t>Fault-finding techniques include one (1) or more of the following:</w:t>
            </w:r>
            <w:r w:rsidRPr="007122C5">
              <w:t xml:space="preserve">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2C5" w:rsidP="007122C5">
            <w:pPr>
              <w:pStyle w:val="ListBullet"/>
            </w:pPr>
            <w:r w:rsidRPr="007122C5">
              <w:t>signal injection</w:t>
            </w:r>
          </w:p>
          <w:p w:rsidR="00000000" w:rsidRPr="007122C5" w:rsidP="007122C5">
            <w:pPr>
              <w:pStyle w:val="ListBullet"/>
            </w:pPr>
            <w:r w:rsidRPr="007122C5">
              <w:t>substitution</w:t>
            </w:r>
          </w:p>
          <w:p w:rsidR="00000000" w:rsidRPr="007122C5" w:rsidP="007122C5">
            <w:pPr>
              <w:pStyle w:val="ListBullet"/>
            </w:pPr>
            <w:r w:rsidRPr="007122C5">
              <w:t>monitoring</w:t>
            </w:r>
          </w:p>
          <w:p w:rsidR="00000000" w:rsidRPr="007122C5" w:rsidP="007122C5">
            <w:pPr>
              <w:pStyle w:val="ListBullet"/>
            </w:pPr>
            <w:r w:rsidRPr="007122C5">
              <w:t>measurement</w:t>
            </w:r>
          </w:p>
          <w:p w:rsidR="00000000" w:rsidRPr="007122C5" w:rsidP="007122C5">
            <w:pPr>
              <w:pStyle w:val="ListBullet"/>
            </w:pPr>
            <w:r w:rsidRPr="007122C5">
              <w:t>heating/cooling</w:t>
            </w:r>
          </w:p>
          <w:p w:rsidR="00000000" w:rsidRPr="007122C5" w:rsidP="007122C5">
            <w:pPr>
              <w:pStyle w:val="ListBullet"/>
            </w:pPr>
            <w:r w:rsidRPr="007122C5">
              <w:t>sound</w:t>
            </w:r>
          </w:p>
          <w:p w:rsidR="00000000" w:rsidRPr="007122C5" w:rsidP="007122C5">
            <w:pPr>
              <w:pStyle w:val="ListBullet"/>
            </w:pPr>
            <w:r w:rsidRPr="007122C5">
              <w:t>visual</w:t>
            </w:r>
          </w:p>
          <w:p w:rsidR="00000000" w:rsidRPr="007122C5" w:rsidP="007122C5">
            <w:pPr>
              <w:pStyle w:val="ListBullet"/>
            </w:pPr>
            <w:r w:rsidRPr="007122C5">
              <w:t>touch</w:t>
            </w:r>
          </w:p>
          <w:p w:rsidR="00000000" w:rsidRPr="007122C5" w:rsidP="007122C5">
            <w:pPr>
              <w:pStyle w:val="ListBullet"/>
            </w:pPr>
            <w:r w:rsidRPr="007122C5">
              <w:t xml:space="preserve">smell </w:t>
            </w:r>
          </w:p>
          <w:p w:rsidR="00000000" w:rsidP="007122C5">
            <w:pPr>
              <w:pStyle w:val="ListBullet"/>
              <w:rPr>
                <w:lang w:val="en-NZ"/>
              </w:rPr>
            </w:pPr>
            <w:r w:rsidRPr="007122C5">
              <w:t>use of inbuilt software and hardware diagnostics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2C5" w:rsidP="007122C5">
            <w:pPr>
              <w:pStyle w:val="ListBullet"/>
            </w:pPr>
            <w:r w:rsidRPr="007122C5">
              <w:t>continuity testers</w:t>
            </w:r>
          </w:p>
          <w:p w:rsidR="00000000" w:rsidRPr="007122C5" w:rsidP="007122C5">
            <w:pPr>
              <w:pStyle w:val="ListBullet"/>
            </w:pPr>
            <w:r w:rsidRPr="007122C5">
              <w:t>ammeters</w:t>
            </w:r>
          </w:p>
          <w:p w:rsidR="00000000" w:rsidRPr="007122C5" w:rsidP="007122C5">
            <w:pPr>
              <w:pStyle w:val="ListBullet"/>
            </w:pPr>
            <w:r w:rsidRPr="007122C5">
              <w:t>voltmeters</w:t>
            </w:r>
          </w:p>
          <w:p w:rsidR="00000000" w:rsidRPr="007122C5" w:rsidP="007122C5">
            <w:pPr>
              <w:pStyle w:val="ListBullet"/>
            </w:pPr>
            <w:r w:rsidRPr="007122C5">
              <w:t>cathode ray oscilloscopes</w:t>
            </w:r>
          </w:p>
          <w:p w:rsidR="00000000" w:rsidRPr="007122C5" w:rsidP="007122C5">
            <w:pPr>
              <w:pStyle w:val="ListBullet"/>
            </w:pPr>
            <w:r w:rsidRPr="007122C5">
              <w:t>frequency counters</w:t>
            </w:r>
          </w:p>
          <w:p w:rsidR="00000000" w:rsidRPr="007122C5" w:rsidP="007122C5">
            <w:pPr>
              <w:pStyle w:val="ListBullet"/>
            </w:pPr>
            <w:r w:rsidRPr="007122C5">
              <w:t>signal generators</w:t>
            </w:r>
          </w:p>
          <w:p w:rsidR="00000000" w:rsidRPr="007122C5" w:rsidP="007122C5">
            <w:pPr>
              <w:pStyle w:val="ListBullet"/>
            </w:pPr>
            <w:r w:rsidRPr="007122C5">
              <w:t xml:space="preserve">digital probes </w:t>
            </w:r>
          </w:p>
          <w:p w:rsidR="00000000" w:rsidRPr="007122C5" w:rsidP="007122C5">
            <w:pPr>
              <w:pStyle w:val="ListBullet"/>
            </w:pPr>
            <w:r w:rsidRPr="007122C5">
              <w:t>pulse generators</w:t>
            </w:r>
          </w:p>
          <w:p w:rsidR="00000000" w:rsidRPr="007122C5" w:rsidP="007122C5">
            <w:pPr>
              <w:pStyle w:val="ListBullet"/>
            </w:pPr>
            <w:r w:rsidRPr="007122C5">
              <w:t>computer and computer software</w:t>
            </w:r>
          </w:p>
          <w:p w:rsidR="00000000" w:rsidP="007122C5">
            <w:pPr>
              <w:pStyle w:val="ListBullet"/>
              <w:rPr>
                <w:lang w:val="en-NZ"/>
              </w:rPr>
            </w:pPr>
            <w:r w:rsidRPr="007122C5">
              <w:t>data analysers</w:t>
            </w:r>
          </w:p>
        </w:tc>
      </w:tr>
      <w:tr w:rsidTr="007122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22C5">
            <w:pPr>
              <w:pStyle w:val="BodyText"/>
              <w:rPr>
                <w:lang w:val="en-NZ"/>
              </w:rPr>
            </w:pPr>
            <w:r w:rsidRPr="007122C5">
              <w:rPr>
                <w:rStyle w:val="SpecialBold"/>
              </w:rPr>
              <w:t>Components include (1) one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22C5" w:rsidP="007122C5">
            <w:pPr>
              <w:pStyle w:val="ListBullet"/>
            </w:pPr>
            <w:r w:rsidRPr="007122C5">
              <w:t>discrete component assemblies</w:t>
            </w:r>
          </w:p>
          <w:p w:rsidR="00000000" w:rsidRPr="007122C5" w:rsidP="007122C5">
            <w:pPr>
              <w:pStyle w:val="ListBullet"/>
            </w:pPr>
            <w:r w:rsidRPr="007122C5">
              <w:t>individual components, including:</w:t>
            </w:r>
          </w:p>
          <w:p w:rsidR="00000000" w:rsidRPr="007122C5" w:rsidP="007122C5">
            <w:pPr>
              <w:pStyle w:val="ListBullet2"/>
            </w:pPr>
            <w:r w:rsidRPr="007122C5">
              <w:t>resistors</w:t>
            </w:r>
          </w:p>
          <w:p w:rsidR="00000000" w:rsidRPr="007122C5" w:rsidP="007122C5">
            <w:pPr>
              <w:pStyle w:val="ListBullet2"/>
            </w:pPr>
            <w:r w:rsidRPr="007122C5">
              <w:t>switching devices</w:t>
            </w:r>
          </w:p>
          <w:p w:rsidR="00000000" w:rsidRPr="007122C5" w:rsidP="007122C5">
            <w:pPr>
              <w:pStyle w:val="ListBullet2"/>
            </w:pPr>
            <w:r w:rsidRPr="007122C5">
              <w:t>capacitors</w:t>
            </w:r>
          </w:p>
          <w:p w:rsidR="00000000" w:rsidRPr="007122C5" w:rsidP="007122C5">
            <w:pPr>
              <w:pStyle w:val="ListBullet2"/>
            </w:pPr>
            <w:r w:rsidRPr="007122C5">
              <w:t>transformers</w:t>
            </w:r>
          </w:p>
          <w:p w:rsidR="00000000" w:rsidRPr="007122C5" w:rsidP="007122C5">
            <w:pPr>
              <w:pStyle w:val="ListBullet2"/>
            </w:pPr>
            <w:r w:rsidRPr="007122C5">
              <w:t>solenoids</w:t>
            </w:r>
          </w:p>
          <w:p w:rsidR="00000000" w:rsidRPr="007122C5" w:rsidP="007122C5">
            <w:pPr>
              <w:pStyle w:val="ListBullet2"/>
            </w:pPr>
            <w:r w:rsidRPr="007122C5">
              <w:t>tubes</w:t>
            </w:r>
          </w:p>
          <w:p w:rsidR="00000000" w:rsidRPr="007122C5" w:rsidP="007122C5">
            <w:pPr>
              <w:pStyle w:val="ListBullet2"/>
            </w:pPr>
            <w:r w:rsidRPr="007122C5">
              <w:t>semi-conductors</w:t>
            </w:r>
          </w:p>
          <w:p w:rsidR="00000000" w:rsidRPr="007122C5" w:rsidP="007122C5">
            <w:pPr>
              <w:pStyle w:val="ListBullet2"/>
            </w:pPr>
            <w:r w:rsidRPr="007122C5">
              <w:t>transistors</w:t>
            </w:r>
          </w:p>
          <w:p w:rsidR="00000000" w:rsidRPr="007122C5" w:rsidP="007122C5">
            <w:pPr>
              <w:pStyle w:val="ListBullet2"/>
            </w:pPr>
            <w:r w:rsidRPr="007122C5">
              <w:t>ICs</w:t>
            </w:r>
          </w:p>
          <w:p w:rsidR="00000000" w:rsidRPr="007122C5" w:rsidP="007122C5">
            <w:pPr>
              <w:pStyle w:val="ListBullet2"/>
            </w:pPr>
            <w:r w:rsidRPr="007122C5">
              <w:t>digital timers</w:t>
            </w:r>
          </w:p>
          <w:p w:rsidR="00000000" w:rsidRPr="007122C5" w:rsidP="007122C5">
            <w:pPr>
              <w:pStyle w:val="ListBullet2"/>
            </w:pPr>
            <w:r w:rsidRPr="007122C5">
              <w:t>gate arrays</w:t>
            </w:r>
          </w:p>
          <w:p w:rsidR="00000000" w:rsidRPr="007122C5" w:rsidP="007122C5">
            <w:pPr>
              <w:pStyle w:val="ListBullet2"/>
            </w:pPr>
            <w:r w:rsidRPr="007122C5">
              <w:t>transmitters</w:t>
            </w:r>
          </w:p>
          <w:p w:rsidR="00000000" w:rsidRPr="007122C5" w:rsidP="007122C5">
            <w:pPr>
              <w:pStyle w:val="ListBullet2"/>
            </w:pPr>
            <w:r w:rsidRPr="007122C5">
              <w:t xml:space="preserve">converters </w:t>
            </w:r>
          </w:p>
          <w:p w:rsidR="00000000" w:rsidRPr="007122C5" w:rsidP="007122C5">
            <w:pPr>
              <w:pStyle w:val="ListBullet2"/>
            </w:pPr>
            <w:r w:rsidRPr="007122C5">
              <w:t>microprocessors</w:t>
            </w:r>
          </w:p>
        </w:tc>
      </w:tr>
    </w:tbl>
    <w:p w:rsidR="001978FD" w:rsidP="007122C5">
      <w:pPr>
        <w:pStyle w:val="BodyText"/>
      </w:pPr>
    </w:p>
    <w:p w:rsidR="001978FD" w:rsidP="007122C5">
      <w:pPr>
        <w:pStyle w:val="BodyText"/>
      </w:pPr>
    </w:p>
    <w:p w:rsidR="00000000" w:rsidRPr="007122C5" w:rsidP="007122C5">
      <w:pPr>
        <w:pStyle w:val="Heading1"/>
      </w:pPr>
      <w:bookmarkStart w:id="8" w:name="O_941523"/>
      <w:bookmarkEnd w:id="8"/>
      <w:r w:rsidRPr="007122C5">
        <w:t>Unit Mapping Information</w:t>
      </w:r>
    </w:p>
    <w:p w:rsidR="00000000" w:rsidRPr="007122C5" w:rsidP="001978FD">
      <w:pPr>
        <w:pStyle w:val="BodyText"/>
      </w:pPr>
      <w:r w:rsidRPr="007122C5">
        <w:t xml:space="preserve">Release 1. Supersedes and is equivalent to MEM18066B Diagnose and repair microprocessor-based equipment </w:t>
      </w:r>
    </w:p>
    <w:p w:rsidR="00000000" w:rsidRPr="007122C5" w:rsidP="007122C5">
      <w:pPr>
        <w:pStyle w:val="Heading1"/>
      </w:pPr>
      <w:bookmarkStart w:id="9" w:name="O_941516"/>
      <w:bookmarkEnd w:id="9"/>
      <w:r w:rsidRPr="007122C5">
        <w:t>Links</w:t>
      </w:r>
    </w:p>
    <w:p w:rsidR="00000000" w:rsidRPr="007122C5" w:rsidP="001978FD">
      <w:pPr>
        <w:pStyle w:val="BodyText"/>
      </w:pPr>
      <w:r w:rsidRPr="007122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A411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122C5" w:rsidP="007122C5"/>
    <w:sectPr w:rsidSect="007122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C5" w:rsidRPr="001978FD" w:rsidP="00197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FD" w:rsidP="007122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78FD" w:rsidP="007122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78FD" w:rsidP="007122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22C5" w:rsidRPr="001978FD" w:rsidP="00197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2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8FD" w:rsidRPr="002D2AF8" w:rsidP="007122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MEM18066 Diagnose and repair microprocessor-based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978FD" w:rsidP="007122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BAE9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52E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C67F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2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22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22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22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22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22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22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22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22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22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2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22C5"/>
  </w:style>
  <w:style w:type="character" w:customStyle="1" w:styleId="Heading1Char">
    <w:name w:val="Heading 1 Char"/>
    <w:basedOn w:val="DefaultParagraphFont"/>
    <w:link w:val="Heading1"/>
    <w:rsid w:val="007122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22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22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22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22C5"/>
    <w:rPr>
      <w:b/>
      <w:spacing w:val="0"/>
    </w:rPr>
  </w:style>
  <w:style w:type="paragraph" w:styleId="ListBullet2">
    <w:name w:val="List Bullet 2"/>
    <w:basedOn w:val="List2"/>
    <w:rsid w:val="007122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22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22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22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22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22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2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2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2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2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22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22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22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22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22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22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22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22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22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22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22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22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22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22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22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22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22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22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22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22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22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22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22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22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22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22C5"/>
    <w:rPr>
      <w:i/>
    </w:rPr>
  </w:style>
  <w:style w:type="paragraph" w:styleId="Caption">
    <w:name w:val="caption"/>
    <w:basedOn w:val="BodyText"/>
    <w:next w:val="Normal"/>
    <w:qFormat/>
    <w:rsid w:val="007122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22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22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22C5"/>
  </w:style>
  <w:style w:type="paragraph" w:styleId="TableofFigures">
    <w:name w:val="table of figures"/>
    <w:basedOn w:val="Normal"/>
    <w:next w:val="Normal"/>
    <w:semiHidden/>
    <w:rsid w:val="007122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22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22C5"/>
    <w:rPr>
      <w:rFonts w:ascii="Wingdings" w:hAnsi="Wingdings"/>
    </w:rPr>
  </w:style>
  <w:style w:type="paragraph" w:customStyle="1" w:styleId="TableHeading">
    <w:name w:val="Table Heading"/>
    <w:basedOn w:val="HeadingBase"/>
    <w:rsid w:val="007122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22C5"/>
    <w:rPr>
      <w:color w:val="0033CC"/>
      <w:u w:val="none"/>
    </w:rPr>
  </w:style>
  <w:style w:type="paragraph" w:customStyle="1" w:styleId="BodyTextRight">
    <w:name w:val="Body Text Right"/>
    <w:basedOn w:val="BodyText"/>
    <w:rsid w:val="007122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22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22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22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22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22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22C5"/>
    <w:rPr>
      <w:sz w:val="32"/>
    </w:rPr>
  </w:style>
  <w:style w:type="paragraph" w:customStyle="1" w:styleId="HeadingProcedure">
    <w:name w:val="Heading Procedure"/>
    <w:basedOn w:val="HeadingBase"/>
    <w:next w:val="Normal"/>
    <w:rsid w:val="007122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22C5"/>
    <w:pPr>
      <w:spacing w:before="60" w:after="60"/>
    </w:pPr>
  </w:style>
  <w:style w:type="paragraph" w:styleId="ListContinue">
    <w:name w:val="List Continue"/>
    <w:basedOn w:val="List"/>
    <w:rsid w:val="007122C5"/>
    <w:pPr>
      <w:ind w:firstLine="0"/>
    </w:pPr>
  </w:style>
  <w:style w:type="paragraph" w:customStyle="1" w:styleId="ListNote">
    <w:name w:val="List Note"/>
    <w:basedOn w:val="List"/>
    <w:rsid w:val="007122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22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22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22C5"/>
    <w:rPr>
      <w:rFonts w:ascii="Courier New" w:hAnsi="Courier New"/>
    </w:rPr>
  </w:style>
  <w:style w:type="paragraph" w:customStyle="1" w:styleId="NoteBullet">
    <w:name w:val="Note Bullet"/>
    <w:basedOn w:val="Note"/>
    <w:rsid w:val="007122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22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22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22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22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22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22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22C5"/>
    <w:rPr>
      <w:b/>
      <w:smallCaps/>
    </w:rPr>
  </w:style>
  <w:style w:type="paragraph" w:customStyle="1" w:styleId="TableListNumber">
    <w:name w:val="Table List Number"/>
    <w:basedOn w:val="ListNumber"/>
    <w:rsid w:val="007122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22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22C5"/>
    <w:pPr>
      <w:numPr>
        <w:numId w:val="9"/>
      </w:numPr>
    </w:pPr>
  </w:style>
  <w:style w:type="paragraph" w:customStyle="1" w:styleId="ListAlpha2">
    <w:name w:val="List Alpha 2"/>
    <w:basedOn w:val="List2"/>
    <w:rsid w:val="007122C5"/>
    <w:pPr>
      <w:numPr>
        <w:numId w:val="8"/>
      </w:numPr>
    </w:pPr>
  </w:style>
  <w:style w:type="paragraph" w:styleId="List2">
    <w:name w:val="List 2"/>
    <w:basedOn w:val="BodyText"/>
    <w:rsid w:val="007122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22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22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22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22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22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22C5"/>
    <w:pPr>
      <w:numPr>
        <w:numId w:val="4"/>
      </w:numPr>
    </w:pPr>
  </w:style>
  <w:style w:type="paragraph" w:styleId="ListContinue2">
    <w:name w:val="List Continue 2"/>
    <w:basedOn w:val="List2"/>
    <w:rsid w:val="007122C5"/>
    <w:pPr>
      <w:ind w:firstLine="0"/>
    </w:pPr>
  </w:style>
  <w:style w:type="paragraph" w:styleId="ListContinue3">
    <w:name w:val="List Continue 3"/>
    <w:basedOn w:val="List3"/>
    <w:rsid w:val="007122C5"/>
    <w:pPr>
      <w:ind w:left="1021" w:firstLine="0"/>
    </w:pPr>
  </w:style>
  <w:style w:type="paragraph" w:styleId="ListContinue4">
    <w:name w:val="List Continue 4"/>
    <w:basedOn w:val="List4"/>
    <w:rsid w:val="007122C5"/>
    <w:pPr>
      <w:ind w:firstLine="0"/>
    </w:pPr>
  </w:style>
  <w:style w:type="paragraph" w:styleId="ListContinue5">
    <w:name w:val="List Continue 5"/>
    <w:basedOn w:val="List5"/>
    <w:rsid w:val="007122C5"/>
    <w:pPr>
      <w:ind w:firstLine="0"/>
    </w:pPr>
  </w:style>
  <w:style w:type="paragraph" w:styleId="ListNumber3">
    <w:name w:val="List Number 3"/>
    <w:basedOn w:val="List3"/>
    <w:rsid w:val="007122C5"/>
    <w:pPr>
      <w:numPr>
        <w:numId w:val="5"/>
      </w:numPr>
    </w:pPr>
  </w:style>
  <w:style w:type="paragraph" w:styleId="ListNumber4">
    <w:name w:val="List Number 4"/>
    <w:basedOn w:val="List4"/>
    <w:rsid w:val="007122C5"/>
    <w:pPr>
      <w:numPr>
        <w:numId w:val="6"/>
      </w:numPr>
    </w:pPr>
  </w:style>
  <w:style w:type="paragraph" w:styleId="ListNumber5">
    <w:name w:val="List Number 5"/>
    <w:basedOn w:val="List5"/>
    <w:rsid w:val="007122C5"/>
    <w:pPr>
      <w:numPr>
        <w:numId w:val="7"/>
      </w:numPr>
    </w:pPr>
  </w:style>
  <w:style w:type="paragraph" w:styleId="BlockText">
    <w:name w:val="Block Text"/>
    <w:basedOn w:val="Normal"/>
    <w:rsid w:val="007122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22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22C5"/>
    <w:rPr>
      <w:sz w:val="16"/>
      <w:vertAlign w:val="superscript"/>
    </w:rPr>
  </w:style>
  <w:style w:type="character" w:customStyle="1" w:styleId="Symbols">
    <w:name w:val="Symbols"/>
    <w:basedOn w:val="DefaultParagraphFont"/>
    <w:rsid w:val="007122C5"/>
    <w:rPr>
      <w:rFonts w:ascii="Symbol" w:hAnsi="Symbol"/>
    </w:rPr>
  </w:style>
  <w:style w:type="character" w:customStyle="1" w:styleId="MenuOptions">
    <w:name w:val="Menu Options"/>
    <w:basedOn w:val="DefaultParagraphFont"/>
    <w:rsid w:val="007122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22C5"/>
    <w:rPr>
      <w:b/>
    </w:rPr>
  </w:style>
  <w:style w:type="character" w:customStyle="1" w:styleId="Underlined">
    <w:name w:val="Underlined"/>
    <w:basedOn w:val="DefaultParagraphFont"/>
    <w:rsid w:val="007122C5"/>
    <w:rPr>
      <w:u w:val="single"/>
    </w:rPr>
  </w:style>
  <w:style w:type="paragraph" w:customStyle="1" w:styleId="TableBodyTextRight">
    <w:name w:val="Table Body Text Right"/>
    <w:basedOn w:val="TableBodyText"/>
    <w:rsid w:val="007122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22C5"/>
    <w:rPr>
      <w:sz w:val="18"/>
    </w:rPr>
  </w:style>
  <w:style w:type="paragraph" w:customStyle="1" w:styleId="BodySmallRight">
    <w:name w:val="Body Small Right"/>
    <w:basedOn w:val="BodyTextRight"/>
    <w:rsid w:val="007122C5"/>
    <w:rPr>
      <w:sz w:val="18"/>
      <w:szCs w:val="18"/>
    </w:rPr>
  </w:style>
  <w:style w:type="paragraph" w:customStyle="1" w:styleId="MarginEdition">
    <w:name w:val="Margin Edition"/>
    <w:basedOn w:val="MarginNote"/>
    <w:rsid w:val="007122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22C5"/>
    <w:rPr>
      <w:sz w:val="2"/>
      <w:szCs w:val="2"/>
    </w:rPr>
  </w:style>
  <w:style w:type="character" w:customStyle="1" w:styleId="Small">
    <w:name w:val="Small"/>
    <w:basedOn w:val="DefaultParagraphFont"/>
    <w:rsid w:val="007122C5"/>
    <w:rPr>
      <w:sz w:val="16"/>
    </w:rPr>
  </w:style>
  <w:style w:type="paragraph" w:customStyle="1" w:styleId="WideTable">
    <w:name w:val="Wide Table"/>
    <w:basedOn w:val="Normal"/>
    <w:rsid w:val="007122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22C5"/>
  </w:style>
  <w:style w:type="paragraph" w:styleId="Quote">
    <w:name w:val="Quote"/>
    <w:basedOn w:val="Heading1"/>
    <w:link w:val="QuoteChar"/>
    <w:qFormat/>
    <w:rsid w:val="007122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22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22C5"/>
    <w:pPr>
      <w:pageBreakBefore/>
    </w:pPr>
  </w:style>
  <w:style w:type="paragraph" w:customStyle="1" w:styleId="Border">
    <w:name w:val="Border"/>
    <w:basedOn w:val="Normal"/>
    <w:qFormat/>
    <w:rsid w:val="007122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22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2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2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22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22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22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22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22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22C5"/>
    <w:rPr>
      <w:u w:val="single"/>
    </w:rPr>
  </w:style>
  <w:style w:type="character" w:customStyle="1" w:styleId="BoldandItalics">
    <w:name w:val="Bold and Italics"/>
    <w:qFormat/>
    <w:rsid w:val="007122C5"/>
    <w:rPr>
      <w:b/>
      <w:i/>
      <w:u w:val="none"/>
    </w:rPr>
  </w:style>
  <w:style w:type="paragraph" w:styleId="BalloonText">
    <w:name w:val="Balloon Text"/>
    <w:basedOn w:val="Normal"/>
    <w:link w:val="BalloonTextChar"/>
    <w:rsid w:val="00712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22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22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22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22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22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22C5"/>
    <w:pPr>
      <w:spacing w:before="0" w:after="0"/>
    </w:pPr>
  </w:style>
  <w:style w:type="paragraph" w:customStyle="1" w:styleId="BodyTextBold">
    <w:name w:val="Body Text Bold"/>
    <w:basedOn w:val="BodyText"/>
    <w:qFormat/>
    <w:rsid w:val="007122C5"/>
    <w:rPr>
      <w:b/>
    </w:rPr>
  </w:style>
  <w:style w:type="character" w:styleId="Hyperlink">
    <w:name w:val="Hyperlink"/>
    <w:basedOn w:val="DefaultParagraphFont"/>
    <w:uiPriority w:val="99"/>
    <w:unhideWhenUsed/>
    <w:rsid w:val="00197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4402</Characters>
  <Application>Microsoft Office Word</Application>
  <DocSecurity>0</DocSecurity>
  <Lines>220</Lines>
  <Paragraphs>143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MEM18066 Diagnose and repair microprocessor-based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