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C5E" w:rsidP="00156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MEM18064 Maintain instrumentation system components</w:t>
      </w:r>
      <w:r>
        <w:fldChar w:fldCharType="end"/>
      </w:r>
    </w:p>
    <w:p w:rsidR="00156C5E" w:rsidP="00156C5E">
      <w:pPr>
        <w:pStyle w:val="Version"/>
        <w:sectPr w:rsidSect="008A2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82F" w:rsidP="008A282F">
      <w:pPr>
        <w:pStyle w:val="SuperHeading"/>
      </w:pPr>
      <w:r w:rsidRPr="008A282F">
        <w:t>MEM18064 Maintain instrumentation system components</w:t>
      </w:r>
    </w:p>
    <w:p w:rsidR="00000000" w:rsidRPr="008A282F" w:rsidP="008A282F">
      <w:pPr>
        <w:pStyle w:val="Heading1"/>
      </w:pPr>
      <w:bookmarkStart w:id="1" w:name="O_941484"/>
      <w:bookmarkEnd w:id="1"/>
      <w:r w:rsidRPr="008A282F">
        <w:t>Modification History</w:t>
      </w:r>
    </w:p>
    <w:p w:rsidR="00000000" w:rsidRPr="008A282F" w:rsidP="00156C5E">
      <w:pPr>
        <w:pStyle w:val="BodyText"/>
      </w:pPr>
      <w:r w:rsidRPr="008A282F">
        <w:t xml:space="preserve">Release 1. Supersedes and is equivalent to MEM18064B Maintain instrumentation system components </w:t>
      </w:r>
    </w:p>
    <w:p w:rsidR="00000000" w:rsidRPr="008A282F" w:rsidP="008A282F">
      <w:pPr>
        <w:pStyle w:val="Heading1"/>
      </w:pPr>
      <w:bookmarkStart w:id="2" w:name="O_941492"/>
      <w:bookmarkEnd w:id="2"/>
      <w:r w:rsidRPr="008A282F">
        <w:t>Application</w:t>
      </w:r>
    </w:p>
    <w:p w:rsidR="00000000" w:rsidRPr="008A282F" w:rsidP="00156C5E">
      <w:pPr>
        <w:pStyle w:val="BodyText"/>
      </w:pPr>
      <w:r w:rsidRPr="008A282F">
        <w:t>This unit of competency defines the skills and knowledge required to maintain instrument system compo</w:t>
      </w:r>
      <w:r w:rsidRPr="008A282F">
        <w:t>nents of a primarily mechanical nature.</w:t>
      </w:r>
    </w:p>
    <w:p w:rsidR="00000000" w:rsidRPr="008A282F" w:rsidP="00156C5E">
      <w:pPr>
        <w:pStyle w:val="BodyText"/>
      </w:pPr>
      <w:r w:rsidRPr="008A282F">
        <w:t>Application of this unit would involve identifying instrumentation system components as well as inspecting and assessing component condition/operation using instrumentation principles and methods and interpreting in</w:t>
      </w:r>
      <w:r w:rsidRPr="008A282F">
        <w:t>formation from data sheets and circuit diagrams in order to make repairs and replacements to predetermined site or manufacturer specifications.</w:t>
      </w:r>
    </w:p>
    <w:p w:rsidR="00000000" w:rsidRPr="008A282F" w:rsidP="00156C5E">
      <w:pPr>
        <w:pStyle w:val="BodyText"/>
      </w:pPr>
      <w:r w:rsidRPr="008A282F">
        <w:t>No licensing, legislative or certification requirements apply to this unit at the time of publication.</w:t>
      </w:r>
    </w:p>
    <w:p w:rsidR="00000000" w:rsidRPr="008A282F" w:rsidP="008A282F">
      <w:pPr>
        <w:pStyle w:val="BodyText"/>
      </w:pPr>
      <w:r w:rsidRPr="008A282F">
        <w:rPr>
          <w:rStyle w:val="SpecialBold"/>
        </w:rPr>
        <w:t>Band</w:t>
      </w:r>
      <w:r w:rsidRPr="008A282F">
        <w:t>:</w:t>
      </w:r>
      <w:r w:rsidRPr="008A282F">
        <w:tab/>
      </w:r>
      <w:r w:rsidRPr="008A282F">
        <w:rPr>
          <w:rStyle w:val="SpecialBold"/>
        </w:rPr>
        <w:t>A</w:t>
      </w:r>
    </w:p>
    <w:p w:rsidR="00000000" w:rsidRPr="008A282F" w:rsidP="008A282F">
      <w:pPr>
        <w:pStyle w:val="BodyText"/>
      </w:pPr>
      <w:r w:rsidRPr="008A282F">
        <w:rPr>
          <w:rStyle w:val="SpecialBold"/>
        </w:rPr>
        <w:t>Unit Weight</w:t>
      </w:r>
      <w:r w:rsidRPr="008A282F">
        <w:t>:</w:t>
      </w:r>
      <w:r w:rsidRPr="008A282F">
        <w:tab/>
      </w:r>
      <w:r w:rsidRPr="008A282F">
        <w:rPr>
          <w:rStyle w:val="SpecialBold"/>
        </w:rPr>
        <w:t>6</w:t>
      </w:r>
    </w:p>
    <w:p w:rsidR="00000000" w:rsidRPr="008A282F" w:rsidP="008A282F">
      <w:pPr>
        <w:pStyle w:val="AllowPageBreak"/>
      </w:pPr>
    </w:p>
    <w:p w:rsidR="00000000" w:rsidRPr="008A282F" w:rsidP="008A282F">
      <w:pPr>
        <w:pStyle w:val="Heading1"/>
      </w:pPr>
      <w:bookmarkStart w:id="3" w:name="O_941491"/>
      <w:bookmarkEnd w:id="3"/>
      <w:r w:rsidRPr="008A282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Interpret technical drawing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Undertake manual handling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Perform electrical/electronic measurement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Perform engineering measurements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Work safely and effectively in manufacturing and engineering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Organise and communicate information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Use hand tools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Use power tools/hand held operations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BodyText"/>
            </w:pPr>
            <w:r w:rsidRPr="008A282F">
              <w:t>Dismantle, replace and assemble engineering components</w:t>
            </w:r>
          </w:p>
        </w:tc>
      </w:tr>
    </w:tbl>
    <w:p w:rsidR="00000000" w:rsidRPr="008A282F" w:rsidP="008A282F">
      <w:pPr>
        <w:pStyle w:val="BodyText"/>
      </w:pPr>
    </w:p>
    <w:p w:rsidR="00000000" w:rsidRPr="008A282F" w:rsidP="008A282F">
      <w:pPr>
        <w:pStyle w:val="AllowPageBreak"/>
      </w:pPr>
    </w:p>
    <w:p w:rsidR="00000000" w:rsidRPr="008A282F" w:rsidP="008A282F">
      <w:pPr>
        <w:pStyle w:val="Heading1"/>
      </w:pPr>
      <w:bookmarkStart w:id="4" w:name="O_941490"/>
      <w:bookmarkEnd w:id="4"/>
      <w:r w:rsidRPr="008A282F">
        <w:t>Competency Field</w:t>
      </w:r>
    </w:p>
    <w:p w:rsidR="00000000" w:rsidRPr="008A282F" w:rsidP="00156C5E">
      <w:pPr>
        <w:pStyle w:val="BodyText"/>
      </w:pPr>
      <w:r w:rsidRPr="008A282F">
        <w:t>Maintenance and diagnostics</w:t>
      </w:r>
    </w:p>
    <w:p w:rsidR="00000000" w:rsidRPr="008A282F" w:rsidP="008A282F">
      <w:pPr>
        <w:pStyle w:val="Heading1"/>
      </w:pPr>
      <w:bookmarkStart w:id="5" w:name="O_941488"/>
      <w:bookmarkEnd w:id="5"/>
      <w:r w:rsidRPr="008A28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Performance criteria describe the performance needed to demonstrate achievement of the element.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BodyText"/>
            </w:pPr>
            <w:r w:rsidRPr="008A282F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rPr>
                <w:rStyle w:val="SpecialBold"/>
              </w:rPr>
              <w:t>Determine</w:t>
            </w:r>
            <w:r w:rsidRPr="008A282F">
              <w:rPr>
                <w:rStyle w:val="SpecialBold"/>
              </w:rPr>
              <w:t xml:space="preserve">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Follow standard operating procedures (SOPs)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Comply with work health and safety (WHS) requirements at all times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Use appropriate personal protective equipment (PPE) in accordance with SOPs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Identify job requirements from specifications, drawings, job sheets or work instructions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BodyText"/>
            </w:pPr>
            <w:r w:rsidRPr="008A282F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rPr>
                <w:rStyle w:val="SpecialBold"/>
              </w:rPr>
              <w:t>Check instrumentation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Identify system components through interpreting the characteristics and operational function of each system component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Inspect the operational function of each component and test in accordance with procedures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Assess operation of each component against specifications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BodyText"/>
            </w:pPr>
            <w:r w:rsidRPr="008A282F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rPr>
                <w:rStyle w:val="SpecialBold"/>
              </w:rPr>
              <w:t>Identify, repair/replace faulty instrumentation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Localise/isolate faulty system components and confirm the malfunction by inspection and testing using appropriate techni</w:t>
            </w:r>
            <w:r w:rsidRPr="008A282F">
              <w:t>ques, procedures and safety requirements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Dismantle faulty system components and repair according to manufacturers</w:t>
            </w:r>
            <w:r>
              <w:t>’</w:t>
            </w:r>
            <w:r w:rsidRPr="008A282F">
              <w:t xml:space="preserve">/site specifications 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Select replacement parts from manufacturer catalogues and listings to required specifications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 xml:space="preserve">Reassemble system components and test for correct operation and assessment against specifications 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Confirm correct operation of the instrumentation system according to SOPs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 xml:space="preserve">Adopt appropriate follow-up procedures 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BodyText"/>
            </w:pPr>
            <w:r w:rsidRPr="008A282F">
              <w:t>Complete service reports in accordance with SOPs</w:t>
            </w:r>
          </w:p>
        </w:tc>
      </w:tr>
    </w:tbl>
    <w:p w:rsidR="00000000" w:rsidRPr="008A282F" w:rsidP="008A282F">
      <w:pPr>
        <w:pStyle w:val="BodyText"/>
      </w:pPr>
    </w:p>
    <w:p w:rsidR="00000000" w:rsidRPr="008A282F" w:rsidP="008A282F">
      <w:pPr>
        <w:pStyle w:val="AllowPageBreak"/>
      </w:pPr>
    </w:p>
    <w:p w:rsidR="00000000" w:rsidRPr="008A282F" w:rsidP="008A282F">
      <w:pPr>
        <w:pStyle w:val="Heading1"/>
      </w:pPr>
      <w:bookmarkStart w:id="6" w:name="O_941487"/>
      <w:bookmarkEnd w:id="6"/>
      <w:r w:rsidRPr="008A282F">
        <w:t>Foundation Skills</w:t>
      </w:r>
    </w:p>
    <w:p w:rsidR="00000000" w:rsidRPr="008A282F" w:rsidP="00156C5E">
      <w:pPr>
        <w:pStyle w:val="BodyText"/>
      </w:pPr>
      <w:r w:rsidRPr="008A282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A282F" w:rsidP="00156C5E">
      <w:pPr>
        <w:pStyle w:val="BodyText"/>
      </w:pPr>
      <w:r w:rsidRPr="008A282F">
        <w:t>Foundation skills essential to performance are explicit in the performance criteria of this unit of competency.</w:t>
      </w:r>
    </w:p>
    <w:p w:rsidR="00000000" w:rsidRPr="008A282F" w:rsidP="008A282F">
      <w:pPr>
        <w:pStyle w:val="Heading1"/>
      </w:pPr>
      <w:bookmarkStart w:id="7" w:name="O_941486"/>
      <w:bookmarkEnd w:id="7"/>
      <w:r w:rsidRPr="008A282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t xml:space="preserve">This field allows for different work environments and conditions that may affect performance. Essential </w:t>
            </w:r>
            <w:r w:rsidRPr="008A282F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rPr>
                <w:rStyle w:val="SpecialBold"/>
              </w:rPr>
              <w:t>Application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ListBullet"/>
            </w:pPr>
            <w:r w:rsidRPr="008A282F">
              <w:t xml:space="preserve">fixed plant and </w:t>
            </w:r>
            <w:r w:rsidRPr="008A282F">
              <w:t>equipment</w:t>
            </w:r>
          </w:p>
          <w:p w:rsidR="00000000" w:rsidRPr="008A282F" w:rsidP="008A282F">
            <w:pPr>
              <w:pStyle w:val="ListBullet"/>
            </w:pPr>
            <w:r w:rsidRPr="008A282F">
              <w:t>mobile plant and equipment</w:t>
            </w:r>
          </w:p>
          <w:p w:rsidR="00000000" w:rsidRPr="008A282F" w:rsidP="008A282F">
            <w:pPr>
              <w:pStyle w:val="ListBullet"/>
            </w:pPr>
            <w:r w:rsidRPr="008A282F">
              <w:t>marine installations</w:t>
            </w:r>
          </w:p>
          <w:p w:rsidR="00000000" w:rsidRPr="008A282F" w:rsidP="008A282F">
            <w:pPr>
              <w:pStyle w:val="ListBullet"/>
            </w:pPr>
            <w:r w:rsidRPr="008A282F">
              <w:t>machine and process operations</w:t>
            </w:r>
          </w:p>
          <w:p w:rsidR="00000000" w:rsidP="008A282F">
            <w:pPr>
              <w:pStyle w:val="BodyText"/>
              <w:rPr>
                <w:lang w:val="en-NZ"/>
              </w:rPr>
            </w:pPr>
          </w:p>
        </w:tc>
      </w:tr>
      <w:tr w:rsidTr="008A2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82F">
            <w:pPr>
              <w:pStyle w:val="BodyText"/>
              <w:rPr>
                <w:lang w:val="en-NZ"/>
              </w:rPr>
            </w:pPr>
            <w:r w:rsidRPr="008A282F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82F" w:rsidP="008A282F">
            <w:pPr>
              <w:pStyle w:val="ListBullet"/>
            </w:pPr>
            <w:r w:rsidRPr="008A282F">
              <w:t>sensors</w:t>
            </w:r>
          </w:p>
          <w:p w:rsidR="00000000" w:rsidRPr="008A282F" w:rsidP="008A282F">
            <w:pPr>
              <w:pStyle w:val="ListBullet"/>
            </w:pPr>
            <w:r w:rsidRPr="008A282F">
              <w:t>transmitters</w:t>
            </w:r>
          </w:p>
          <w:p w:rsidR="00000000" w:rsidRPr="008A282F" w:rsidP="008A282F">
            <w:pPr>
              <w:pStyle w:val="ListBullet"/>
            </w:pPr>
            <w:r w:rsidRPr="008A282F">
              <w:t>converters</w:t>
            </w:r>
          </w:p>
          <w:p w:rsidR="00000000" w:rsidRPr="008A282F" w:rsidP="008A282F">
            <w:pPr>
              <w:pStyle w:val="ListBullet"/>
            </w:pPr>
            <w:r w:rsidRPr="008A282F">
              <w:t>indicators</w:t>
            </w:r>
          </w:p>
          <w:p w:rsidR="00000000" w:rsidRPr="008A282F" w:rsidP="008A282F">
            <w:pPr>
              <w:pStyle w:val="ListBullet"/>
            </w:pPr>
            <w:r w:rsidRPr="008A282F">
              <w:t>analysers</w:t>
            </w:r>
          </w:p>
          <w:p w:rsidR="00000000" w:rsidRPr="008A282F" w:rsidP="008A282F">
            <w:pPr>
              <w:pStyle w:val="ListBullet"/>
            </w:pPr>
            <w:r w:rsidRPr="008A282F">
              <w:t>controllers</w:t>
            </w:r>
          </w:p>
          <w:p w:rsidR="00000000" w:rsidRPr="008A282F" w:rsidP="008A282F">
            <w:pPr>
              <w:pStyle w:val="ListBullet"/>
            </w:pPr>
            <w:r w:rsidRPr="008A282F">
              <w:t>transducers</w:t>
            </w:r>
          </w:p>
          <w:p w:rsidR="00000000" w:rsidRPr="008A282F" w:rsidP="008A282F">
            <w:pPr>
              <w:pStyle w:val="ListBullet"/>
            </w:pPr>
            <w:r w:rsidRPr="008A282F">
              <w:t>power supplies</w:t>
            </w:r>
          </w:p>
          <w:p w:rsidR="00000000" w:rsidRPr="008A282F" w:rsidP="008A282F">
            <w:pPr>
              <w:pStyle w:val="ListBullet"/>
            </w:pPr>
            <w:r w:rsidRPr="008A282F">
              <w:t xml:space="preserve">removable circuit boards </w:t>
            </w:r>
          </w:p>
          <w:p w:rsidR="00000000" w:rsidRPr="008A282F" w:rsidP="008A282F">
            <w:pPr>
              <w:pStyle w:val="ListBullet"/>
            </w:pPr>
            <w:r w:rsidRPr="008A282F">
              <w:t>sensor units associated with determining/controlling density, level, flow, temperature and composition of a range of materials</w:t>
            </w:r>
          </w:p>
          <w:p w:rsidR="00000000" w:rsidRPr="008A282F" w:rsidP="008A282F">
            <w:pPr>
              <w:pStyle w:val="BodyText"/>
            </w:pPr>
          </w:p>
        </w:tc>
      </w:tr>
    </w:tbl>
    <w:p w:rsidR="00000000" w:rsidRPr="008A282F" w:rsidP="008A282F">
      <w:pPr>
        <w:pStyle w:val="BodyText"/>
      </w:pPr>
    </w:p>
    <w:p w:rsidR="00000000" w:rsidRPr="008A282F" w:rsidP="008A282F">
      <w:pPr>
        <w:pStyle w:val="AllowPageBreak"/>
      </w:pPr>
    </w:p>
    <w:p w:rsidR="00000000" w:rsidRPr="008A282F" w:rsidP="008A282F">
      <w:pPr>
        <w:pStyle w:val="Heading1"/>
      </w:pPr>
      <w:bookmarkStart w:id="8" w:name="O_941485"/>
      <w:bookmarkEnd w:id="8"/>
      <w:r w:rsidRPr="008A282F">
        <w:t>Unit Mapping Information</w:t>
      </w:r>
    </w:p>
    <w:p w:rsidR="00000000" w:rsidRPr="008A282F" w:rsidP="00156C5E">
      <w:pPr>
        <w:pStyle w:val="BodyText"/>
      </w:pPr>
      <w:r w:rsidRPr="008A282F">
        <w:t xml:space="preserve">Release 1. Supersedes and is equivalent to MEM18064B Maintain instrumentation system components </w:t>
      </w:r>
    </w:p>
    <w:p w:rsidR="00000000" w:rsidRPr="008A282F" w:rsidP="008A282F">
      <w:pPr>
        <w:pStyle w:val="Heading1"/>
      </w:pPr>
      <w:bookmarkStart w:id="9" w:name="O_941478"/>
      <w:bookmarkEnd w:id="9"/>
      <w:r w:rsidRPr="008A282F">
        <w:t>Links</w:t>
      </w:r>
    </w:p>
    <w:p w:rsidR="00000000" w:rsidRPr="008A282F" w:rsidP="00156C5E">
      <w:pPr>
        <w:pStyle w:val="BodyText"/>
      </w:pPr>
      <w:r w:rsidRPr="008A2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47F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282F" w:rsidP="008A282F"/>
    <w:sectPr w:rsidSect="008A28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2F" w:rsidRPr="00156C5E" w:rsidP="00156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5E" w:rsidP="008A2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C5E" w:rsidP="008A2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6C5E" w:rsidP="008A2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82F" w:rsidRPr="00156C5E" w:rsidP="00156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5E" w:rsidRPr="002D2AF8" w:rsidP="008A2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MEM18064 Maintain instrumentation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56C5E" w:rsidP="008A2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A2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6A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82F"/>
  </w:style>
  <w:style w:type="character" w:customStyle="1" w:styleId="Heading1Char">
    <w:name w:val="Heading 1 Char"/>
    <w:basedOn w:val="DefaultParagraphFont"/>
    <w:link w:val="Heading1"/>
    <w:rsid w:val="008A2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8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82F"/>
    <w:rPr>
      <w:b/>
      <w:spacing w:val="0"/>
    </w:rPr>
  </w:style>
  <w:style w:type="paragraph" w:customStyle="1" w:styleId="SuperHeading">
    <w:name w:val="SuperHeading"/>
    <w:basedOn w:val="Normal"/>
    <w:rsid w:val="008A2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8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82F"/>
    <w:rPr>
      <w:i/>
    </w:rPr>
  </w:style>
  <w:style w:type="paragraph" w:styleId="Caption">
    <w:name w:val="caption"/>
    <w:basedOn w:val="BodyText"/>
    <w:next w:val="Normal"/>
    <w:qFormat/>
    <w:rsid w:val="008A2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82F"/>
  </w:style>
  <w:style w:type="paragraph" w:styleId="TableofFigures">
    <w:name w:val="table of figures"/>
    <w:basedOn w:val="Normal"/>
    <w:next w:val="Normal"/>
    <w:semiHidden/>
    <w:rsid w:val="008A2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8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282F"/>
    <w:rPr>
      <w:rFonts w:ascii="Wingdings" w:hAnsi="Wingdings"/>
    </w:rPr>
  </w:style>
  <w:style w:type="paragraph" w:customStyle="1" w:styleId="TableHeading">
    <w:name w:val="Table Heading"/>
    <w:basedOn w:val="HeadingBase"/>
    <w:rsid w:val="008A2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82F"/>
    <w:rPr>
      <w:color w:val="0033CC"/>
      <w:u w:val="none"/>
    </w:rPr>
  </w:style>
  <w:style w:type="paragraph" w:customStyle="1" w:styleId="BodyTextRight">
    <w:name w:val="Body Text Right"/>
    <w:basedOn w:val="BodyText"/>
    <w:rsid w:val="008A2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8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82F"/>
    <w:rPr>
      <w:sz w:val="32"/>
    </w:rPr>
  </w:style>
  <w:style w:type="paragraph" w:customStyle="1" w:styleId="HeadingProcedure">
    <w:name w:val="Heading Procedure"/>
    <w:basedOn w:val="HeadingBase"/>
    <w:next w:val="Normal"/>
    <w:rsid w:val="008A2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82F"/>
    <w:pPr>
      <w:spacing w:before="60" w:after="60"/>
    </w:pPr>
  </w:style>
  <w:style w:type="paragraph" w:styleId="ListContinue">
    <w:name w:val="List Continue"/>
    <w:basedOn w:val="List"/>
    <w:rsid w:val="008A282F"/>
    <w:pPr>
      <w:ind w:firstLine="0"/>
    </w:pPr>
  </w:style>
  <w:style w:type="paragraph" w:customStyle="1" w:styleId="ListNote">
    <w:name w:val="List Note"/>
    <w:basedOn w:val="List"/>
    <w:rsid w:val="008A2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82F"/>
    <w:rPr>
      <w:rFonts w:ascii="Courier New" w:hAnsi="Courier New"/>
    </w:rPr>
  </w:style>
  <w:style w:type="paragraph" w:customStyle="1" w:styleId="NoteBullet">
    <w:name w:val="Note Bullet"/>
    <w:basedOn w:val="Note"/>
    <w:rsid w:val="008A2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8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2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82F"/>
    <w:rPr>
      <w:b/>
      <w:smallCaps/>
    </w:rPr>
  </w:style>
  <w:style w:type="paragraph" w:customStyle="1" w:styleId="TableListNumber">
    <w:name w:val="Table List Number"/>
    <w:basedOn w:val="ListNumber"/>
    <w:rsid w:val="008A2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82F"/>
    <w:pPr>
      <w:numPr>
        <w:numId w:val="8"/>
      </w:numPr>
    </w:pPr>
  </w:style>
  <w:style w:type="paragraph" w:customStyle="1" w:styleId="ListAlpha2">
    <w:name w:val="List Alpha 2"/>
    <w:basedOn w:val="List2"/>
    <w:rsid w:val="008A282F"/>
    <w:pPr>
      <w:numPr>
        <w:numId w:val="7"/>
      </w:numPr>
    </w:pPr>
  </w:style>
  <w:style w:type="paragraph" w:styleId="List2">
    <w:name w:val="List 2"/>
    <w:basedOn w:val="BodyText"/>
    <w:rsid w:val="008A2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8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8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282F"/>
    <w:pPr>
      <w:numPr>
        <w:numId w:val="3"/>
      </w:numPr>
    </w:pPr>
  </w:style>
  <w:style w:type="paragraph" w:styleId="ListContinue2">
    <w:name w:val="List Continue 2"/>
    <w:basedOn w:val="List2"/>
    <w:rsid w:val="008A282F"/>
    <w:pPr>
      <w:ind w:firstLine="0"/>
    </w:pPr>
  </w:style>
  <w:style w:type="paragraph" w:styleId="ListContinue3">
    <w:name w:val="List Continue 3"/>
    <w:basedOn w:val="List3"/>
    <w:rsid w:val="008A282F"/>
    <w:pPr>
      <w:ind w:left="1021" w:firstLine="0"/>
    </w:pPr>
  </w:style>
  <w:style w:type="paragraph" w:styleId="ListContinue4">
    <w:name w:val="List Continue 4"/>
    <w:basedOn w:val="List4"/>
    <w:rsid w:val="008A282F"/>
    <w:pPr>
      <w:ind w:firstLine="0"/>
    </w:pPr>
  </w:style>
  <w:style w:type="paragraph" w:styleId="ListContinue5">
    <w:name w:val="List Continue 5"/>
    <w:basedOn w:val="List5"/>
    <w:rsid w:val="008A282F"/>
    <w:pPr>
      <w:ind w:firstLine="0"/>
    </w:pPr>
  </w:style>
  <w:style w:type="paragraph" w:styleId="ListNumber3">
    <w:name w:val="List Number 3"/>
    <w:basedOn w:val="List3"/>
    <w:rsid w:val="008A282F"/>
    <w:pPr>
      <w:numPr>
        <w:numId w:val="4"/>
      </w:numPr>
    </w:pPr>
  </w:style>
  <w:style w:type="paragraph" w:styleId="ListNumber4">
    <w:name w:val="List Number 4"/>
    <w:basedOn w:val="List4"/>
    <w:rsid w:val="008A282F"/>
    <w:pPr>
      <w:numPr>
        <w:numId w:val="5"/>
      </w:numPr>
    </w:pPr>
  </w:style>
  <w:style w:type="paragraph" w:styleId="ListNumber5">
    <w:name w:val="List Number 5"/>
    <w:basedOn w:val="List5"/>
    <w:rsid w:val="008A282F"/>
    <w:pPr>
      <w:numPr>
        <w:numId w:val="6"/>
      </w:numPr>
    </w:pPr>
  </w:style>
  <w:style w:type="paragraph" w:styleId="BlockText">
    <w:name w:val="Block Text"/>
    <w:basedOn w:val="Normal"/>
    <w:rsid w:val="008A2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82F"/>
    <w:rPr>
      <w:sz w:val="16"/>
      <w:vertAlign w:val="superscript"/>
    </w:rPr>
  </w:style>
  <w:style w:type="character" w:customStyle="1" w:styleId="Symbols">
    <w:name w:val="Symbols"/>
    <w:basedOn w:val="DefaultParagraphFont"/>
    <w:rsid w:val="008A282F"/>
    <w:rPr>
      <w:rFonts w:ascii="Symbol" w:hAnsi="Symbol"/>
    </w:rPr>
  </w:style>
  <w:style w:type="character" w:customStyle="1" w:styleId="MenuOptions">
    <w:name w:val="Menu Options"/>
    <w:basedOn w:val="DefaultParagraphFont"/>
    <w:rsid w:val="008A2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82F"/>
    <w:rPr>
      <w:b/>
    </w:rPr>
  </w:style>
  <w:style w:type="character" w:customStyle="1" w:styleId="Underlined">
    <w:name w:val="Underlined"/>
    <w:basedOn w:val="DefaultParagraphFont"/>
    <w:rsid w:val="008A282F"/>
    <w:rPr>
      <w:u w:val="single"/>
    </w:rPr>
  </w:style>
  <w:style w:type="paragraph" w:customStyle="1" w:styleId="TableBodyTextRight">
    <w:name w:val="Table Body Text Right"/>
    <w:basedOn w:val="TableBodyText"/>
    <w:rsid w:val="008A2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82F"/>
    <w:rPr>
      <w:sz w:val="18"/>
    </w:rPr>
  </w:style>
  <w:style w:type="paragraph" w:customStyle="1" w:styleId="BodySmallRight">
    <w:name w:val="Body Small Right"/>
    <w:basedOn w:val="BodyTextRight"/>
    <w:rsid w:val="008A282F"/>
    <w:rPr>
      <w:sz w:val="18"/>
      <w:szCs w:val="18"/>
    </w:rPr>
  </w:style>
  <w:style w:type="paragraph" w:customStyle="1" w:styleId="MarginEdition">
    <w:name w:val="Margin Edition"/>
    <w:basedOn w:val="MarginNote"/>
    <w:rsid w:val="008A2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82F"/>
    <w:rPr>
      <w:sz w:val="2"/>
      <w:szCs w:val="2"/>
    </w:rPr>
  </w:style>
  <w:style w:type="character" w:customStyle="1" w:styleId="Small">
    <w:name w:val="Small"/>
    <w:basedOn w:val="DefaultParagraphFont"/>
    <w:rsid w:val="008A282F"/>
    <w:rPr>
      <w:sz w:val="16"/>
    </w:rPr>
  </w:style>
  <w:style w:type="paragraph" w:customStyle="1" w:styleId="WideTable">
    <w:name w:val="Wide Table"/>
    <w:basedOn w:val="Normal"/>
    <w:rsid w:val="008A2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82F"/>
  </w:style>
  <w:style w:type="paragraph" w:styleId="Quote">
    <w:name w:val="Quote"/>
    <w:basedOn w:val="Heading1"/>
    <w:link w:val="QuoteChar"/>
    <w:qFormat/>
    <w:rsid w:val="008A2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82F"/>
    <w:pPr>
      <w:pageBreakBefore/>
    </w:pPr>
  </w:style>
  <w:style w:type="paragraph" w:customStyle="1" w:styleId="Border">
    <w:name w:val="Border"/>
    <w:basedOn w:val="Normal"/>
    <w:qFormat/>
    <w:rsid w:val="008A2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82F"/>
    <w:rPr>
      <w:u w:val="single"/>
    </w:rPr>
  </w:style>
  <w:style w:type="character" w:customStyle="1" w:styleId="BoldandItalics">
    <w:name w:val="Bold and Italics"/>
    <w:qFormat/>
    <w:rsid w:val="008A282F"/>
    <w:rPr>
      <w:b/>
      <w:i/>
      <w:u w:val="none"/>
    </w:rPr>
  </w:style>
  <w:style w:type="paragraph" w:styleId="BalloonText">
    <w:name w:val="Balloon Text"/>
    <w:basedOn w:val="Normal"/>
    <w:link w:val="BalloonTextChar"/>
    <w:rsid w:val="008A2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82F"/>
    <w:pPr>
      <w:spacing w:before="0" w:after="0"/>
    </w:pPr>
  </w:style>
  <w:style w:type="paragraph" w:customStyle="1" w:styleId="BodyTextBold">
    <w:name w:val="Body Text Bold"/>
    <w:basedOn w:val="BodyText"/>
    <w:qFormat/>
    <w:rsid w:val="008A282F"/>
    <w:rPr>
      <w:b/>
    </w:rPr>
  </w:style>
  <w:style w:type="character" w:styleId="Hyperlink">
    <w:name w:val="Hyperlink"/>
    <w:basedOn w:val="DefaultParagraphFont"/>
    <w:uiPriority w:val="99"/>
    <w:unhideWhenUsed/>
    <w:rsid w:val="00156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3883</Characters>
  <Application>Microsoft Office Word</Application>
  <DocSecurity>0</DocSecurity>
  <Lines>194</Lines>
  <Paragraphs>111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MEM18064 Maintain instrumentation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