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6A8" w:rsidP="00CF56A8">
      <w:pPr>
        <w:pStyle w:val="Title"/>
      </w:pPr>
      <w:r>
        <w:fldChar w:fldCharType="begin"/>
      </w:r>
      <w:r>
        <w:instrText xml:space="preserve"> TITLE   \* MERGEFORMAT </w:instrText>
      </w:r>
      <w:r>
        <w:fldChar w:fldCharType="separate"/>
      </w:r>
      <w:r>
        <w:t>MEM18057 Maintain/service analog/digital electronic equipment</w:t>
      </w:r>
      <w:r>
        <w:fldChar w:fldCharType="end"/>
      </w:r>
    </w:p>
    <w:p w:rsidR="00CF56A8" w:rsidP="00CF56A8">
      <w:pPr>
        <w:pStyle w:val="Version"/>
        <w:sectPr w:rsidSect="00770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B1F" w:rsidP="00770B1F">
      <w:pPr>
        <w:pStyle w:val="SuperHeading"/>
      </w:pPr>
      <w:r w:rsidRPr="00770B1F">
        <w:t>MEM18057 Maintain/service analog/digital electronic equipment</w:t>
      </w:r>
    </w:p>
    <w:p w:rsidR="00000000" w:rsidRPr="00770B1F" w:rsidP="00770B1F">
      <w:pPr>
        <w:pStyle w:val="Heading1"/>
      </w:pPr>
      <w:bookmarkStart w:id="1" w:name="O_941351"/>
      <w:bookmarkEnd w:id="1"/>
      <w:r w:rsidRPr="00770B1F">
        <w:t>Modification History</w:t>
      </w:r>
    </w:p>
    <w:p w:rsidR="00000000" w:rsidRPr="00770B1F" w:rsidP="00CF56A8">
      <w:pPr>
        <w:pStyle w:val="BodyText"/>
      </w:pPr>
      <w:r w:rsidRPr="00770B1F">
        <w:t xml:space="preserve">Release 1. Supersedes and is equivalent to MEM18057B Maintain/service analog/digital electronic equipment </w:t>
      </w:r>
    </w:p>
    <w:p w:rsidR="00000000" w:rsidRPr="00770B1F" w:rsidP="00770B1F">
      <w:pPr>
        <w:pStyle w:val="Heading1"/>
      </w:pPr>
      <w:bookmarkStart w:id="2" w:name="O_941359"/>
      <w:bookmarkEnd w:id="2"/>
      <w:r w:rsidRPr="00770B1F">
        <w:t>Application</w:t>
      </w:r>
    </w:p>
    <w:p w:rsidR="00000000" w:rsidRPr="00770B1F" w:rsidP="00CF56A8">
      <w:pPr>
        <w:pStyle w:val="BodyText"/>
      </w:pPr>
      <w:r w:rsidRPr="00770B1F">
        <w:t>This unit of competency defines the skills and knowledge required to maintain/service analog/digital electronic equipment.</w:t>
      </w:r>
    </w:p>
    <w:p w:rsidR="00000000" w:rsidRPr="00770B1F" w:rsidP="00CF56A8">
      <w:pPr>
        <w:pStyle w:val="BodyText"/>
      </w:pPr>
      <w:r w:rsidRPr="00770B1F">
        <w:t>Where termination of cables is required see unit MEM10002 Terminate and connect electrical wiring and unit MEM18063 Terminate signal</w:t>
      </w:r>
      <w:r w:rsidRPr="00770B1F">
        <w:t xml:space="preserve"> and data cables, as appropriate.</w:t>
      </w:r>
    </w:p>
    <w:p w:rsidR="00000000" w:rsidRPr="00770B1F" w:rsidP="00CF56A8">
      <w:pPr>
        <w:pStyle w:val="BodyText"/>
      </w:pPr>
      <w:r w:rsidRPr="00770B1F">
        <w:t xml:space="preserve">Where the selection and use of engineering measurement is required unit MEM12023 Perform engineering measurements should also be selected. </w:t>
      </w:r>
    </w:p>
    <w:p w:rsidR="00000000" w:rsidRPr="00770B1F" w:rsidP="00CF56A8">
      <w:pPr>
        <w:pStyle w:val="BodyText"/>
      </w:pPr>
      <w:r w:rsidRPr="00770B1F">
        <w:t>Where the selection and use of power tools/hand held operations is required unit</w:t>
      </w:r>
      <w:r w:rsidRPr="00770B1F">
        <w:t xml:space="preserve"> MEM18002 Use power tools/hand held operations should also be selected. </w:t>
      </w:r>
    </w:p>
    <w:p w:rsidR="00000000" w:rsidRPr="00770B1F" w:rsidP="00CF56A8">
      <w:pPr>
        <w:pStyle w:val="BodyText"/>
      </w:pPr>
      <w:r w:rsidRPr="00770B1F">
        <w:t>Where diagnosis and repair of electronic equipment is undertaken to component level unit MEM18056 Diagnose and repair analog equipment and components and unit MEM18065 Diagnose and r</w:t>
      </w:r>
      <w:r w:rsidRPr="00770B1F">
        <w:t>epair digital equipment and components, should also be selected as appropriate.</w:t>
      </w:r>
    </w:p>
    <w:p w:rsidR="00000000" w:rsidRPr="00770B1F" w:rsidP="00CF56A8">
      <w:pPr>
        <w:pStyle w:val="BodyText"/>
      </w:pPr>
      <w:r w:rsidRPr="00770B1F">
        <w:t>No licensing, legislative or certification requirements apply to this unit at the time of publication.</w:t>
      </w:r>
    </w:p>
    <w:p w:rsidR="00000000" w:rsidRPr="00770B1F" w:rsidP="00770B1F">
      <w:pPr>
        <w:pStyle w:val="BodyText"/>
      </w:pPr>
      <w:r w:rsidRPr="00770B1F">
        <w:rPr>
          <w:rStyle w:val="SpecialBold"/>
        </w:rPr>
        <w:t>Band</w:t>
      </w:r>
      <w:r w:rsidRPr="00770B1F">
        <w:t>:</w:t>
      </w:r>
      <w:r w:rsidRPr="00770B1F">
        <w:tab/>
      </w:r>
      <w:r w:rsidRPr="00770B1F">
        <w:rPr>
          <w:rStyle w:val="SpecialBold"/>
        </w:rPr>
        <w:t>A</w:t>
      </w:r>
    </w:p>
    <w:p w:rsidR="00000000" w:rsidRPr="00770B1F" w:rsidP="00770B1F">
      <w:pPr>
        <w:pStyle w:val="BodyText"/>
      </w:pPr>
      <w:r w:rsidRPr="00770B1F">
        <w:rPr>
          <w:rStyle w:val="SpecialBold"/>
        </w:rPr>
        <w:t>Unit Weight</w:t>
      </w:r>
      <w:r w:rsidRPr="00770B1F">
        <w:t>:</w:t>
      </w:r>
      <w:r w:rsidRPr="00770B1F">
        <w:tab/>
      </w:r>
      <w:r w:rsidRPr="00770B1F">
        <w:rPr>
          <w:rStyle w:val="SpecialBold"/>
        </w:rPr>
        <w:t>6</w:t>
      </w:r>
    </w:p>
    <w:p w:rsidR="00000000" w:rsidRPr="00770B1F" w:rsidP="00770B1F">
      <w:pPr>
        <w:pStyle w:val="AllowPageBreak"/>
      </w:pPr>
    </w:p>
    <w:p w:rsidR="00000000" w:rsidRPr="00770B1F" w:rsidP="00770B1F">
      <w:pPr>
        <w:pStyle w:val="Heading1"/>
      </w:pPr>
      <w:bookmarkStart w:id="3" w:name="O_941358"/>
      <w:bookmarkEnd w:id="3"/>
      <w:r w:rsidRPr="00770B1F">
        <w:t>Pre-requisite Unit</w:t>
      </w:r>
    </w:p>
    <w:tbl>
      <w:tblPr>
        <w:tblW w:w="0" w:type="auto"/>
        <w:tblLayout w:type="fixed"/>
        <w:tblCellMar>
          <w:left w:w="62" w:type="dxa"/>
          <w:right w:w="62" w:type="dxa"/>
        </w:tblCellMar>
        <w:tblLook w:val="0000"/>
      </w:tblPr>
      <w:tblGrid>
        <w:gridCol w:w="2204"/>
        <w:gridCol w:w="6360"/>
      </w:tblGrid>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MEM05001</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Per</w:t>
            </w:r>
            <w:r w:rsidRPr="00770B1F">
              <w:t>form manual soldering/desoldering - electrical/electronic components</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MEM09002</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Interpret technical drawing</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MEM11011</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Undertake manual handling</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MEM12004</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Perform precision electrical/electronic measurement</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MEM13015</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Work safely and effectively in manufacturing and engineering</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MEM16006</w:t>
            </w:r>
          </w:p>
        </w:tc>
        <w:tc>
          <w:tcPr>
            <w:tcW w:w="6360"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Organise and communicate information</w:t>
            </w:r>
          </w:p>
        </w:tc>
      </w:tr>
      <w:tr w:rsidTr="00770B1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MEM18001</w:t>
            </w:r>
          </w:p>
        </w:tc>
        <w:tc>
          <w:tcPr>
            <w:tcW w:w="6360"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Use hand tools</w:t>
            </w:r>
          </w:p>
        </w:tc>
      </w:tr>
    </w:tbl>
    <w:p w:rsidR="00000000" w:rsidRPr="00770B1F" w:rsidP="00770B1F">
      <w:pPr>
        <w:pStyle w:val="BodyText"/>
      </w:pPr>
    </w:p>
    <w:p w:rsidR="00000000" w:rsidRPr="00770B1F" w:rsidP="00770B1F">
      <w:pPr>
        <w:pStyle w:val="AllowPageBreak"/>
      </w:pPr>
    </w:p>
    <w:p w:rsidR="00000000" w:rsidRPr="00770B1F" w:rsidP="00770B1F">
      <w:pPr>
        <w:pStyle w:val="Heading1"/>
      </w:pPr>
      <w:bookmarkStart w:id="4" w:name="O_941357"/>
      <w:bookmarkEnd w:id="4"/>
      <w:r w:rsidRPr="00770B1F">
        <w:t>Competency Field</w:t>
      </w:r>
    </w:p>
    <w:p w:rsidR="00000000" w:rsidRPr="00770B1F" w:rsidP="00CF56A8">
      <w:pPr>
        <w:pStyle w:val="BodyText"/>
      </w:pPr>
      <w:r w:rsidRPr="00770B1F">
        <w:t>Maintenance and diagnostics</w:t>
      </w:r>
    </w:p>
    <w:p w:rsidR="00000000" w:rsidRPr="00770B1F" w:rsidP="00770B1F">
      <w:pPr>
        <w:pStyle w:val="Heading1"/>
      </w:pPr>
      <w:bookmarkStart w:id="5" w:name="O_941355"/>
      <w:bookmarkEnd w:id="5"/>
      <w:r w:rsidRPr="00770B1F">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70B1F">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Performance criteria describe the performance needed to demonstrate achievement of the element.</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1</w:t>
            </w:r>
          </w:p>
        </w:tc>
        <w:tc>
          <w:tcPr>
            <w:tcW w:w="1974" w:type="dxa"/>
            <w:vMerge w:val="restart"/>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1.1</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Follow standard operating procedures (SOPs)</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1.2</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Comply with work health and safety (WHS) requirements at all times</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1.3</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Use appropriate personal protective equipment (PPE) in accordance with SOPs</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1.4</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Identify job requirements from specifications, drawings, job sheets or work instructions</w:t>
            </w:r>
          </w:p>
        </w:tc>
      </w:tr>
      <w:tr w:rsidTr="00770B1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70B1F">
            <w:pPr>
              <w:pStyle w:val="BodyText"/>
              <w:rPr>
                <w:lang w:val="en-NZ"/>
              </w:rPr>
            </w:pP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2</w:t>
            </w:r>
          </w:p>
        </w:tc>
        <w:tc>
          <w:tcPr>
            <w:tcW w:w="1974" w:type="dxa"/>
            <w:vMerge w:val="restart"/>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Undertake maintenance checks and routine tests</w:t>
            </w: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2.1</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Determine the function of electronic equipment by reference to circuit diagrams, equipment manuals and/or consultation with equipment operator, where appropriate</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2.2</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Run equipment built-in test function</w:t>
            </w:r>
            <w:r w:rsidRPr="00770B1F">
              <w:t>s and record results, where appropriate</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2.3</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 xml:space="preserve">Note and record built-in faults/status display </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2.4</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Check equipment/sub-assemblies, components, connections and terminations visually using appropriate test equipment and techniques</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2.5</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Remove and replace faulty components, where appropriate</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2.6</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Check all results for compliance with manufacturers</w:t>
            </w:r>
            <w:r>
              <w:t>’</w:t>
            </w:r>
            <w:r w:rsidRPr="00770B1F">
              <w:t xml:space="preserve"> requirements or specification and record results to SOPs</w:t>
            </w:r>
          </w:p>
        </w:tc>
      </w:tr>
      <w:tr w:rsidTr="00770B1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70B1F">
            <w:pPr>
              <w:pStyle w:val="BodyText"/>
              <w:rPr>
                <w:lang w:val="en-NZ"/>
              </w:rPr>
            </w:pP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3</w:t>
            </w:r>
          </w:p>
        </w:tc>
        <w:tc>
          <w:tcPr>
            <w:tcW w:w="1974" w:type="dxa"/>
            <w:vMerge w:val="restart"/>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Maintain and/or service electronic equipment</w:t>
            </w: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3.1</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Isolate sub-assemblies in accordance with procedures, where appropriate</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3.2</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Adjust electronic equipment/sub-assemblies to specifications, manufacturers</w:t>
            </w:r>
            <w:r>
              <w:t>’</w:t>
            </w:r>
            <w:r w:rsidRPr="00770B1F">
              <w:t xml:space="preserve"> requirements and/or procedures using appropriate tools, test equipment and techniques</w:t>
            </w:r>
          </w:p>
        </w:tc>
      </w:tr>
      <w:tr w:rsidTr="00770B1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70B1F">
            <w:pPr>
              <w:pStyle w:val="BodyText"/>
              <w:rPr>
                <w:lang w:val="en-NZ"/>
              </w:rPr>
            </w:pP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4</w:t>
            </w:r>
          </w:p>
        </w:tc>
        <w:tc>
          <w:tcPr>
            <w:tcW w:w="1974" w:type="dxa"/>
            <w:vMerge w:val="restart"/>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Return electronic equipment to service</w:t>
            </w: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4.1</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 xml:space="preserve">Return equipment/sub-assemblies into service </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4.2</w:t>
            </w:r>
          </w:p>
        </w:tc>
        <w:tc>
          <w:tcPr>
            <w:tcW w:w="5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Check equipment/sub-assemblies for operational compliance to specifications and/or manufacturers</w:t>
            </w:r>
            <w:r>
              <w:t>’</w:t>
            </w:r>
            <w:r w:rsidRPr="00770B1F">
              <w:t xml:space="preserve"> requirements</w:t>
            </w:r>
          </w:p>
        </w:tc>
      </w:tr>
      <w:tr w:rsidTr="00770B1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4.3</w:t>
            </w:r>
          </w:p>
        </w:tc>
        <w:tc>
          <w:tcPr>
            <w:tcW w:w="5641" w:type="dxa"/>
            <w:tcBorders>
              <w:top w:val="nil"/>
              <w:left w:val="nil"/>
              <w:bottom w:val="nil"/>
              <w:right w:val="nil"/>
            </w:tcBorders>
            <w:tcMar>
              <w:top w:w="0" w:type="dxa"/>
              <w:left w:w="62" w:type="dxa"/>
              <w:bottom w:w="0" w:type="dxa"/>
              <w:right w:w="62" w:type="dxa"/>
            </w:tcMar>
          </w:tcPr>
          <w:p w:rsidR="00000000" w:rsidRPr="00770B1F" w:rsidP="00770B1F">
            <w:pPr>
              <w:pStyle w:val="BodyText"/>
            </w:pPr>
            <w:r w:rsidRPr="00770B1F">
              <w:t>Complete all documentation requirements according to SOPs</w:t>
            </w:r>
          </w:p>
        </w:tc>
      </w:tr>
    </w:tbl>
    <w:p w:rsidR="00000000" w:rsidRPr="00770B1F" w:rsidP="00770B1F">
      <w:pPr>
        <w:pStyle w:val="BodyText"/>
      </w:pPr>
    </w:p>
    <w:p w:rsidR="00000000" w:rsidRPr="00770B1F" w:rsidP="00770B1F">
      <w:pPr>
        <w:pStyle w:val="AllowPageBreak"/>
      </w:pPr>
    </w:p>
    <w:p w:rsidR="00000000" w:rsidRPr="00770B1F" w:rsidP="00770B1F">
      <w:pPr>
        <w:pStyle w:val="Heading1"/>
      </w:pPr>
      <w:bookmarkStart w:id="6" w:name="O_941354"/>
      <w:bookmarkEnd w:id="6"/>
      <w:r w:rsidRPr="00770B1F">
        <w:t>Foundation Skills</w:t>
      </w:r>
    </w:p>
    <w:p w:rsidR="00000000" w:rsidRPr="00770B1F" w:rsidP="00CF56A8">
      <w:pPr>
        <w:pStyle w:val="BodyText"/>
      </w:pPr>
      <w:r w:rsidRPr="00770B1F">
        <w:t>This section describes those required skills (reading, writing, oral communication and numeracy) that are essential to workplace performance in this unit of comp</w:t>
      </w:r>
      <w:r w:rsidRPr="00770B1F">
        <w:t xml:space="preserve">etency.  </w:t>
      </w:r>
    </w:p>
    <w:p w:rsidR="00000000" w:rsidRPr="00770B1F" w:rsidP="00CF56A8">
      <w:pPr>
        <w:pStyle w:val="BodyText"/>
      </w:pPr>
      <w:r w:rsidRPr="00770B1F">
        <w:t>Foundation skills essential to performance are explicit in the performance criteria of this unit of competency.</w:t>
      </w:r>
    </w:p>
    <w:p w:rsidR="00000000" w:rsidRPr="00770B1F" w:rsidP="00770B1F">
      <w:pPr>
        <w:pStyle w:val="Heading1"/>
      </w:pPr>
      <w:bookmarkStart w:id="7" w:name="O_941353"/>
      <w:bookmarkEnd w:id="7"/>
      <w:r w:rsidRPr="00770B1F">
        <w:t>Range of Conditions</w:t>
      </w:r>
    </w:p>
    <w:tbl>
      <w:tblPr>
        <w:tblW w:w="0" w:type="auto"/>
        <w:tblLayout w:type="fixed"/>
        <w:tblCellMar>
          <w:left w:w="62" w:type="dxa"/>
          <w:right w:w="62" w:type="dxa"/>
        </w:tblCellMar>
        <w:tblLook w:val="0000"/>
      </w:tblPr>
      <w:tblGrid>
        <w:gridCol w:w="2641"/>
        <w:gridCol w:w="6501"/>
      </w:tblGrid>
      <w:tr w:rsidTr="00770B1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t>This field allows for different work environments and conditions that may affect performance. Essential operating conditions that may be present (depending on the work situation, needs of the candidate, accessibility of the item, and local industry and reg</w:t>
            </w:r>
            <w:r w:rsidRPr="00770B1F">
              <w:t>ional contexts) are included.</w:t>
            </w:r>
          </w:p>
        </w:tc>
      </w:tr>
      <w:tr w:rsidTr="00770B1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Electronic systems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70B1F" w:rsidP="00770B1F">
            <w:pPr>
              <w:pStyle w:val="ListBullet"/>
            </w:pPr>
            <w:r w:rsidRPr="00770B1F">
              <w:t>amplifiers</w:t>
            </w:r>
          </w:p>
          <w:p w:rsidR="00000000" w:rsidRPr="00770B1F" w:rsidP="00770B1F">
            <w:pPr>
              <w:pStyle w:val="ListBullet"/>
            </w:pPr>
            <w:r w:rsidRPr="00770B1F">
              <w:t>analog/digital hardware</w:t>
            </w:r>
          </w:p>
          <w:p w:rsidR="00000000" w:rsidRPr="00770B1F" w:rsidP="00770B1F">
            <w:pPr>
              <w:pStyle w:val="ListBullet"/>
            </w:pPr>
            <w:r w:rsidRPr="00770B1F">
              <w:t>telecommunication</w:t>
            </w:r>
          </w:p>
          <w:p w:rsidR="00000000" w:rsidRPr="00770B1F" w:rsidP="00770B1F">
            <w:pPr>
              <w:pStyle w:val="ListBullet"/>
            </w:pPr>
            <w:r w:rsidRPr="00770B1F">
              <w:t>consumer audio/video</w:t>
            </w:r>
          </w:p>
          <w:p w:rsidR="00000000" w:rsidRPr="00770B1F" w:rsidP="00770B1F">
            <w:pPr>
              <w:pStyle w:val="ListBullet"/>
            </w:pPr>
            <w:r w:rsidRPr="00770B1F">
              <w:t>electronic appliances</w:t>
            </w:r>
          </w:p>
          <w:p w:rsidR="00000000" w:rsidRPr="00770B1F" w:rsidP="00770B1F">
            <w:pPr>
              <w:pStyle w:val="ListBullet"/>
            </w:pPr>
            <w:r w:rsidRPr="00770B1F">
              <w:t>process control</w:t>
            </w:r>
          </w:p>
          <w:p w:rsidR="00000000" w:rsidRPr="00770B1F" w:rsidP="00770B1F">
            <w:pPr>
              <w:pStyle w:val="ListBullet"/>
            </w:pPr>
            <w:r w:rsidRPr="00770B1F">
              <w:t>computer systems</w:t>
            </w:r>
          </w:p>
          <w:p w:rsidR="00000000" w:rsidRPr="00770B1F" w:rsidP="00770B1F">
            <w:pPr>
              <w:pStyle w:val="ListBullet"/>
            </w:pPr>
            <w:r w:rsidRPr="00770B1F">
              <w:t>security monitoring and alarm systems</w:t>
            </w:r>
          </w:p>
          <w:p w:rsidR="00000000" w:rsidRPr="00770B1F" w:rsidP="00770B1F">
            <w:pPr>
              <w:pStyle w:val="ListBullet"/>
            </w:pPr>
            <w:r w:rsidRPr="00770B1F">
              <w:t>scanning systems</w:t>
            </w:r>
          </w:p>
          <w:p w:rsidR="00000000" w:rsidRPr="00770B1F" w:rsidP="00770B1F">
            <w:pPr>
              <w:pStyle w:val="ListBullet"/>
            </w:pPr>
            <w:r w:rsidRPr="00770B1F">
              <w:t>fire systems</w:t>
            </w:r>
          </w:p>
          <w:p w:rsidR="00000000" w:rsidRPr="00770B1F" w:rsidP="00770B1F">
            <w:pPr>
              <w:pStyle w:val="ListBullet"/>
            </w:pPr>
            <w:r w:rsidRPr="00770B1F">
              <w:t xml:space="preserve">power supplies </w:t>
            </w:r>
          </w:p>
          <w:p w:rsidR="00000000" w:rsidRPr="00770B1F" w:rsidP="00770B1F">
            <w:pPr>
              <w:pStyle w:val="ListBullet"/>
            </w:pPr>
            <w:r w:rsidRPr="00770B1F">
              <w:t>test equipment</w:t>
            </w:r>
          </w:p>
          <w:p w:rsidR="00000000" w:rsidP="00770B1F">
            <w:pPr>
              <w:pStyle w:val="BodyText"/>
              <w:rPr>
                <w:lang w:val="en-NZ"/>
              </w:rPr>
            </w:pPr>
          </w:p>
        </w:tc>
      </w:tr>
      <w:tr w:rsidTr="00770B1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70B1F" w:rsidP="00770B1F">
            <w:pPr>
              <w:pStyle w:val="ListBullet"/>
            </w:pPr>
            <w:r w:rsidRPr="00770B1F">
              <w:t xml:space="preserve">discrete component </w:t>
            </w:r>
          </w:p>
          <w:p w:rsidR="00000000" w:rsidRPr="00770B1F" w:rsidP="00770B1F">
            <w:pPr>
              <w:pStyle w:val="ListBullet"/>
            </w:pPr>
            <w:r w:rsidRPr="00770B1F">
              <w:t>circuit boards</w:t>
            </w:r>
          </w:p>
          <w:p w:rsidR="00000000" w:rsidRPr="00770B1F" w:rsidP="00770B1F">
            <w:pPr>
              <w:pStyle w:val="ListBullet"/>
            </w:pPr>
            <w:r w:rsidRPr="00770B1F">
              <w:t>connectors</w:t>
            </w:r>
          </w:p>
          <w:p w:rsidR="00000000" w:rsidRPr="00770B1F" w:rsidP="00770B1F">
            <w:pPr>
              <w:pStyle w:val="ListBullet"/>
            </w:pPr>
            <w:r w:rsidRPr="00770B1F">
              <w:t>plug-in items</w:t>
            </w:r>
          </w:p>
          <w:p w:rsidR="00000000" w:rsidRPr="00770B1F" w:rsidP="00770B1F">
            <w:pPr>
              <w:pStyle w:val="ListBullet"/>
            </w:pPr>
            <w:r w:rsidRPr="00770B1F">
              <w:t>power supplies</w:t>
            </w:r>
          </w:p>
          <w:p w:rsidR="00000000" w:rsidP="00770B1F">
            <w:pPr>
              <w:pStyle w:val="BodyText"/>
              <w:rPr>
                <w:lang w:val="en-NZ"/>
              </w:rPr>
            </w:pPr>
          </w:p>
        </w:tc>
      </w:tr>
      <w:tr w:rsidTr="00770B1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70B1F">
            <w:pPr>
              <w:pStyle w:val="BodyText"/>
              <w:rPr>
                <w:lang w:val="en-NZ"/>
              </w:rPr>
            </w:pPr>
            <w:r w:rsidRPr="00770B1F">
              <w:rPr>
                <w:rStyle w:val="SpecialBold"/>
              </w:rPr>
              <w:t xml:space="preserve">Test equipment includes </w:t>
            </w:r>
            <w:r w:rsidRPr="00770B1F">
              <w:rPr>
                <w:rStyle w:val="SpecialBold"/>
              </w:rPr>
              <w:t>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70B1F" w:rsidP="00770B1F">
            <w:pPr>
              <w:pStyle w:val="ListBullet"/>
            </w:pPr>
            <w:r w:rsidRPr="00770B1F">
              <w:t>continuity testers</w:t>
            </w:r>
          </w:p>
          <w:p w:rsidR="00000000" w:rsidRPr="00770B1F" w:rsidP="00770B1F">
            <w:pPr>
              <w:pStyle w:val="ListBullet"/>
            </w:pPr>
            <w:r w:rsidRPr="00770B1F">
              <w:t>ammeters</w:t>
            </w:r>
          </w:p>
          <w:p w:rsidR="00000000" w:rsidRPr="00770B1F" w:rsidP="00770B1F">
            <w:pPr>
              <w:pStyle w:val="ListBullet"/>
            </w:pPr>
            <w:r w:rsidRPr="00770B1F">
              <w:t>voltmeters</w:t>
            </w:r>
          </w:p>
          <w:p w:rsidR="00000000" w:rsidRPr="00770B1F" w:rsidP="00770B1F">
            <w:pPr>
              <w:pStyle w:val="ListBullet"/>
            </w:pPr>
            <w:r w:rsidRPr="00770B1F">
              <w:t>cathode ray oscilloscopes</w:t>
            </w:r>
          </w:p>
          <w:p w:rsidR="00000000" w:rsidRPr="00770B1F" w:rsidP="00770B1F">
            <w:pPr>
              <w:pStyle w:val="ListBullet"/>
            </w:pPr>
            <w:r w:rsidRPr="00770B1F">
              <w:t>frequency counters</w:t>
            </w:r>
          </w:p>
          <w:p w:rsidR="00000000" w:rsidRPr="00770B1F" w:rsidP="00770B1F">
            <w:pPr>
              <w:pStyle w:val="BodyText"/>
            </w:pPr>
          </w:p>
        </w:tc>
      </w:tr>
    </w:tbl>
    <w:p w:rsidR="00000000" w:rsidRPr="00770B1F" w:rsidP="00770B1F">
      <w:pPr>
        <w:pStyle w:val="BodyText"/>
      </w:pPr>
    </w:p>
    <w:p w:rsidR="00000000" w:rsidRPr="00770B1F" w:rsidP="00770B1F">
      <w:pPr>
        <w:pStyle w:val="AllowPageBreak"/>
      </w:pPr>
    </w:p>
    <w:p w:rsidR="00000000" w:rsidRPr="00770B1F" w:rsidP="00770B1F">
      <w:pPr>
        <w:pStyle w:val="Heading1"/>
      </w:pPr>
      <w:bookmarkStart w:id="8" w:name="O_941352"/>
      <w:bookmarkEnd w:id="8"/>
      <w:r w:rsidRPr="00770B1F">
        <w:t>Unit Mapping Information</w:t>
      </w:r>
    </w:p>
    <w:p w:rsidR="00000000" w:rsidRPr="00770B1F" w:rsidP="00CF56A8">
      <w:pPr>
        <w:pStyle w:val="BodyText"/>
      </w:pPr>
      <w:r w:rsidRPr="00770B1F">
        <w:t xml:space="preserve">Release 1. Supersedes and is equivalent to MEM18057B Maintain/service analog/digital electronic equipment </w:t>
      </w:r>
    </w:p>
    <w:p w:rsidR="00000000" w:rsidRPr="00770B1F" w:rsidP="00770B1F">
      <w:pPr>
        <w:pStyle w:val="Heading1"/>
      </w:pPr>
      <w:bookmarkStart w:id="9" w:name="O_941345"/>
      <w:bookmarkEnd w:id="9"/>
      <w:r w:rsidRPr="00770B1F">
        <w:t>Links</w:t>
      </w:r>
    </w:p>
    <w:p w:rsidR="00000000" w:rsidRPr="00770B1F" w:rsidP="00CF56A8">
      <w:pPr>
        <w:pStyle w:val="BodyText"/>
      </w:pPr>
      <w:r w:rsidRPr="00770B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2629E">
        <w:rPr>
          <w:rStyle w:val="Hyperlink"/>
        </w:rPr>
        <w:t>https://vetnet.gov.au/Pages/TrainingDocs.aspx?q=b7050d37-5fd0-4740-8f7d-3b7a49c10bb2</w:t>
      </w:r>
      <w:r>
        <w:fldChar w:fldCharType="end"/>
      </w:r>
    </w:p>
    <w:p w:rsidR="00000000" w:rsidRPr="00770B1F" w:rsidP="00770B1F"/>
    <w:sectPr w:rsidSect="00770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1F" w:rsidRPr="00CF56A8" w:rsidP="00CF5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A8" w:rsidP="00770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6A8" w:rsidP="00770B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56A8" w:rsidP="00770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B1F" w:rsidRPr="00CF56A8" w:rsidP="00CF5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A8" w:rsidRPr="002D2AF8" w:rsidP="00770B1F">
    <w:pPr>
      <w:pStyle w:val="Header"/>
      <w:framePr w:wrap="around"/>
    </w:pPr>
    <w:r>
      <w:fldChar w:fldCharType="begin"/>
    </w:r>
    <w:r>
      <w:instrText xml:space="preserve"> TITLE   \* MERGEFORMAT </w:instrText>
    </w:r>
    <w:r>
      <w:fldChar w:fldCharType="separate"/>
    </w:r>
    <w:r>
      <w:t>MEM18057 Maintain/service analog/digital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F56A8" w:rsidP="00770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B42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44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B1F"/>
    <w:pPr>
      <w:spacing w:before="360" w:after="60"/>
      <w:outlineLvl w:val="0"/>
    </w:pPr>
    <w:rPr>
      <w:sz w:val="32"/>
    </w:rPr>
  </w:style>
  <w:style w:type="paragraph" w:styleId="Heading2">
    <w:name w:val="heading 2"/>
    <w:basedOn w:val="HeadingBase"/>
    <w:next w:val="BodyText"/>
    <w:link w:val="Heading2Char"/>
    <w:qFormat/>
    <w:rsid w:val="00770B1F"/>
    <w:pPr>
      <w:keepLines/>
      <w:spacing w:before="240" w:after="120"/>
      <w:outlineLvl w:val="1"/>
    </w:pPr>
    <w:rPr>
      <w:sz w:val="28"/>
      <w:szCs w:val="40"/>
    </w:rPr>
  </w:style>
  <w:style w:type="paragraph" w:styleId="Heading3">
    <w:name w:val="heading 3"/>
    <w:basedOn w:val="HeadingBase"/>
    <w:next w:val="BodyText"/>
    <w:link w:val="Heading3Char"/>
    <w:qFormat/>
    <w:rsid w:val="00770B1F"/>
    <w:pPr>
      <w:spacing w:before="180" w:after="120"/>
      <w:outlineLvl w:val="2"/>
    </w:pPr>
    <w:rPr>
      <w:spacing w:val="-10"/>
      <w:kern w:val="32"/>
    </w:rPr>
  </w:style>
  <w:style w:type="paragraph" w:styleId="Heading4">
    <w:name w:val="heading 4"/>
    <w:basedOn w:val="HeadingBase"/>
    <w:next w:val="BodyText"/>
    <w:link w:val="Heading4Char"/>
    <w:qFormat/>
    <w:rsid w:val="00770B1F"/>
    <w:pPr>
      <w:spacing w:before="160" w:after="120"/>
      <w:outlineLvl w:val="3"/>
    </w:pPr>
    <w:rPr>
      <w:sz w:val="22"/>
    </w:rPr>
  </w:style>
  <w:style w:type="paragraph" w:styleId="Heading5">
    <w:name w:val="heading 5"/>
    <w:basedOn w:val="HeadingBase"/>
    <w:next w:val="Normal"/>
    <w:link w:val="Heading5Char"/>
    <w:qFormat/>
    <w:rsid w:val="00770B1F"/>
    <w:pPr>
      <w:spacing w:before="80"/>
      <w:outlineLvl w:val="4"/>
    </w:pPr>
    <w:rPr>
      <w:color w:val="918585"/>
      <w:sz w:val="20"/>
    </w:rPr>
  </w:style>
  <w:style w:type="paragraph" w:styleId="Heading6">
    <w:name w:val="heading 6"/>
    <w:basedOn w:val="HeadingBase"/>
    <w:next w:val="Normal"/>
    <w:link w:val="Heading6Char"/>
    <w:qFormat/>
    <w:rsid w:val="00770B1F"/>
    <w:pPr>
      <w:spacing w:before="60"/>
      <w:outlineLvl w:val="5"/>
    </w:pPr>
    <w:rPr>
      <w:color w:val="918585"/>
      <w:sz w:val="20"/>
    </w:rPr>
  </w:style>
  <w:style w:type="paragraph" w:styleId="Heading7">
    <w:name w:val="heading 7"/>
    <w:basedOn w:val="Normal"/>
    <w:next w:val="Normal"/>
    <w:link w:val="Heading7Char"/>
    <w:qFormat/>
    <w:rsid w:val="00770B1F"/>
    <w:pPr>
      <w:ind w:left="720"/>
      <w:outlineLvl w:val="6"/>
    </w:pPr>
    <w:rPr>
      <w:i/>
    </w:rPr>
  </w:style>
  <w:style w:type="paragraph" w:styleId="Heading8">
    <w:name w:val="heading 8"/>
    <w:basedOn w:val="Normal"/>
    <w:next w:val="Normal"/>
    <w:link w:val="Heading8Char"/>
    <w:qFormat/>
    <w:rsid w:val="00770B1F"/>
    <w:pPr>
      <w:ind w:left="720"/>
      <w:outlineLvl w:val="7"/>
    </w:pPr>
    <w:rPr>
      <w:i/>
    </w:rPr>
  </w:style>
  <w:style w:type="paragraph" w:styleId="Heading9">
    <w:name w:val="heading 9"/>
    <w:basedOn w:val="Normal"/>
    <w:next w:val="Normal"/>
    <w:link w:val="Heading9Char"/>
    <w:qFormat/>
    <w:rsid w:val="00770B1F"/>
    <w:pPr>
      <w:ind w:left="720"/>
      <w:outlineLvl w:val="8"/>
    </w:pPr>
    <w:rPr>
      <w:i/>
    </w:rPr>
  </w:style>
  <w:style w:type="character" w:default="1" w:styleId="DefaultParagraphFont">
    <w:name w:val="Default Paragraph Font"/>
    <w:uiPriority w:val="1"/>
    <w:unhideWhenUsed/>
    <w:rsid w:val="00770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B1F"/>
  </w:style>
  <w:style w:type="character" w:customStyle="1" w:styleId="Heading1Char">
    <w:name w:val="Heading 1 Char"/>
    <w:basedOn w:val="DefaultParagraphFont"/>
    <w:link w:val="Heading1"/>
    <w:rsid w:val="00770B1F"/>
    <w:rPr>
      <w:rFonts w:ascii="Times New Roman" w:eastAsia="Times New Roman" w:hAnsi="Times New Roman" w:cs="Times New Roman"/>
      <w:b/>
      <w:sz w:val="32"/>
      <w:szCs w:val="20"/>
      <w:lang w:eastAsia="en-US"/>
    </w:rPr>
  </w:style>
  <w:style w:type="paragraph" w:styleId="BodyText">
    <w:name w:val="Body Text"/>
    <w:basedOn w:val="Normal"/>
    <w:link w:val="BodyTextChar"/>
    <w:rsid w:val="00770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B1F"/>
    <w:rPr>
      <w:rFonts w:ascii="Times New Roman" w:eastAsia="Times New Roman" w:hAnsi="Times New Roman" w:cs="Times New Roman"/>
      <w:sz w:val="24"/>
      <w:lang w:eastAsia="en-US"/>
    </w:rPr>
  </w:style>
  <w:style w:type="paragraph" w:styleId="ListBullet">
    <w:name w:val="List Bullet"/>
    <w:basedOn w:val="List"/>
    <w:rsid w:val="00770B1F"/>
    <w:pPr>
      <w:numPr>
        <w:numId w:val="11"/>
      </w:numPr>
      <w:tabs>
        <w:tab w:val="clear" w:pos="340"/>
      </w:tabs>
      <w:spacing w:before="40" w:after="40"/>
    </w:pPr>
  </w:style>
  <w:style w:type="character" w:customStyle="1" w:styleId="SpecialBold">
    <w:name w:val="Special Bold"/>
    <w:basedOn w:val="DefaultParagraphFont"/>
    <w:rsid w:val="00770B1F"/>
    <w:rPr>
      <w:b/>
      <w:spacing w:val="0"/>
    </w:rPr>
  </w:style>
  <w:style w:type="paragraph" w:customStyle="1" w:styleId="SuperHeading">
    <w:name w:val="SuperHeading"/>
    <w:basedOn w:val="Normal"/>
    <w:rsid w:val="00770B1F"/>
    <w:pPr>
      <w:spacing w:before="240" w:after="120"/>
      <w:outlineLvl w:val="0"/>
    </w:pPr>
    <w:rPr>
      <w:rFonts w:ascii="Times New Roman" w:hAnsi="Times New Roman"/>
      <w:b/>
      <w:sz w:val="32"/>
    </w:rPr>
  </w:style>
  <w:style w:type="paragraph" w:customStyle="1" w:styleId="AllowPageBreak">
    <w:name w:val="AllowPageBreak"/>
    <w:rsid w:val="00770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B1F"/>
    <w:rPr>
      <w:rFonts w:ascii="Courier New" w:eastAsia="Times New Roman" w:hAnsi="Courier New" w:cs="Times New Roman"/>
      <w:i/>
      <w:szCs w:val="20"/>
      <w:lang w:eastAsia="en-US"/>
    </w:rPr>
  </w:style>
  <w:style w:type="paragraph" w:customStyle="1" w:styleId="HeadingBase">
    <w:name w:val="Heading Base"/>
    <w:rsid w:val="00770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B1F"/>
    <w:pPr>
      <w:tabs>
        <w:tab w:val="right" w:leader="dot" w:pos="9072"/>
      </w:tabs>
      <w:ind w:left="567"/>
    </w:pPr>
    <w:rPr>
      <w:szCs w:val="22"/>
    </w:rPr>
  </w:style>
  <w:style w:type="paragraph" w:customStyle="1" w:styleId="TOCBase">
    <w:name w:val="TOC Base"/>
    <w:rsid w:val="00770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B1F"/>
    <w:pPr>
      <w:tabs>
        <w:tab w:val="right" w:leader="dot" w:pos="9072"/>
      </w:tabs>
      <w:spacing w:before="40" w:after="40"/>
      <w:ind w:left="284"/>
    </w:pPr>
    <w:rPr>
      <w:rFonts w:ascii="Times New Roman" w:hAnsi="Times New Roman"/>
    </w:rPr>
  </w:style>
  <w:style w:type="paragraph" w:styleId="TOC1">
    <w:name w:val="toc 1"/>
    <w:basedOn w:val="TOCBase"/>
    <w:next w:val="Normal"/>
    <w:rsid w:val="00770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B1F"/>
    <w:rPr>
      <w:rFonts w:ascii="Times New Roman" w:eastAsia="Times New Roman" w:hAnsi="Times New Roman" w:cs="Times New Roman"/>
      <w:sz w:val="16"/>
      <w:lang w:eastAsia="en-US"/>
    </w:rPr>
  </w:style>
  <w:style w:type="paragraph" w:styleId="Title">
    <w:name w:val="Title"/>
    <w:basedOn w:val="HeadingBase"/>
    <w:link w:val="TitleChar"/>
    <w:qFormat/>
    <w:rsid w:val="00770B1F"/>
    <w:pPr>
      <w:spacing w:before="5040"/>
      <w:jc w:val="center"/>
    </w:pPr>
    <w:rPr>
      <w:sz w:val="48"/>
      <w:szCs w:val="72"/>
      <w:lang w:val="en-US"/>
    </w:rPr>
  </w:style>
  <w:style w:type="character" w:customStyle="1" w:styleId="TitleChar">
    <w:name w:val="Title Char"/>
    <w:basedOn w:val="DefaultParagraphFont"/>
    <w:link w:val="Title"/>
    <w:rsid w:val="00770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B1F"/>
    <w:pPr>
      <w:tabs>
        <w:tab w:val="left" w:pos="3600"/>
        <w:tab w:val="left" w:pos="3958"/>
      </w:tabs>
    </w:pPr>
  </w:style>
  <w:style w:type="paragraph" w:styleId="List">
    <w:name w:val="List"/>
    <w:basedOn w:val="BodyText"/>
    <w:next w:val="BodyText"/>
    <w:rsid w:val="00770B1F"/>
    <w:pPr>
      <w:tabs>
        <w:tab w:val="left" w:pos="340"/>
      </w:tabs>
      <w:spacing w:before="60" w:after="60"/>
      <w:ind w:left="340" w:hanging="340"/>
    </w:pPr>
  </w:style>
  <w:style w:type="paragraph" w:customStyle="1" w:styleId="Note">
    <w:name w:val="Note"/>
    <w:basedOn w:val="BodyText"/>
    <w:rsid w:val="00770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B1F"/>
    <w:pPr>
      <w:framePr w:wrap="auto" w:hAnchor="text" w:y="6049"/>
    </w:pPr>
    <w:rPr>
      <w:color w:val="000000"/>
      <w:sz w:val="40"/>
    </w:rPr>
  </w:style>
  <w:style w:type="paragraph" w:customStyle="1" w:styleId="TOCTitle">
    <w:name w:val="TOCTitle"/>
    <w:basedOn w:val="Heading1"/>
    <w:rsid w:val="00770B1F"/>
    <w:pPr>
      <w:spacing w:after="240"/>
      <w:jc w:val="center"/>
      <w:outlineLvl w:val="9"/>
    </w:pPr>
    <w:rPr>
      <w:caps/>
    </w:rPr>
  </w:style>
  <w:style w:type="paragraph" w:customStyle="1" w:styleId="Version">
    <w:name w:val="Version"/>
    <w:rsid w:val="00770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B1F"/>
    <w:pPr>
      <w:numPr>
        <w:numId w:val="12"/>
      </w:numPr>
      <w:tabs>
        <w:tab w:val="clear" w:pos="680"/>
      </w:tabs>
    </w:pPr>
  </w:style>
  <w:style w:type="paragraph" w:styleId="Index1">
    <w:name w:val="index 1"/>
    <w:basedOn w:val="Normal"/>
    <w:next w:val="Normal"/>
    <w:semiHidden/>
    <w:rsid w:val="00770B1F"/>
    <w:pPr>
      <w:keepNext w:val="0"/>
      <w:tabs>
        <w:tab w:val="right" w:pos="4176"/>
      </w:tabs>
      <w:ind w:left="198" w:hanging="198"/>
    </w:pPr>
    <w:rPr>
      <w:rFonts w:ascii="Garamond" w:hAnsi="Garamond"/>
    </w:rPr>
  </w:style>
  <w:style w:type="paragraph" w:styleId="IndexHeading">
    <w:name w:val="index heading"/>
    <w:basedOn w:val="Normal"/>
    <w:next w:val="Index1"/>
    <w:semiHidden/>
    <w:rsid w:val="00770B1F"/>
    <w:pPr>
      <w:spacing w:before="120" w:after="120"/>
    </w:pPr>
    <w:rPr>
      <w:rFonts w:ascii="Arial" w:hAnsi="Arial"/>
      <w:b/>
      <w:color w:val="918585"/>
      <w:sz w:val="24"/>
    </w:rPr>
  </w:style>
  <w:style w:type="paragraph" w:styleId="Header">
    <w:name w:val="header"/>
    <w:basedOn w:val="Normal"/>
    <w:link w:val="HeaderChar"/>
    <w:rsid w:val="00770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B1F"/>
    <w:rPr>
      <w:rFonts w:ascii="Times New Roman" w:eastAsia="Times New Roman" w:hAnsi="Times New Roman" w:cs="Times New Roman"/>
      <w:sz w:val="16"/>
      <w:szCs w:val="20"/>
      <w:lang w:val="en-GB" w:eastAsia="en-US"/>
    </w:rPr>
  </w:style>
  <w:style w:type="paragraph" w:customStyle="1" w:styleId="Chapter">
    <w:name w:val="Chapter"/>
    <w:basedOn w:val="Normal"/>
    <w:rsid w:val="00770B1F"/>
    <w:pPr>
      <w:spacing w:before="240"/>
    </w:pPr>
    <w:rPr>
      <w:rFonts w:ascii="Times New Roman" w:hAnsi="Times New Roman"/>
      <w:smallCaps/>
      <w:spacing w:val="80"/>
      <w:sz w:val="28"/>
    </w:rPr>
  </w:style>
  <w:style w:type="paragraph" w:customStyle="1" w:styleId="InChapter">
    <w:name w:val="InChapter"/>
    <w:basedOn w:val="Heading3"/>
    <w:rsid w:val="00770B1F"/>
    <w:pPr>
      <w:spacing w:after="240"/>
      <w:outlineLvl w:val="9"/>
    </w:pPr>
    <w:rPr>
      <w:noProof/>
    </w:rPr>
  </w:style>
  <w:style w:type="paragraph" w:styleId="Index2">
    <w:name w:val="index 2"/>
    <w:basedOn w:val="Normal"/>
    <w:next w:val="Normal"/>
    <w:semiHidden/>
    <w:rsid w:val="00770B1F"/>
    <w:pPr>
      <w:tabs>
        <w:tab w:val="right" w:pos="4176"/>
      </w:tabs>
      <w:ind w:left="568" w:hanging="284"/>
    </w:pPr>
    <w:rPr>
      <w:rFonts w:ascii="Garamond" w:hAnsi="Garamond"/>
    </w:rPr>
  </w:style>
  <w:style w:type="paragraph" w:customStyle="1" w:styleId="Byline">
    <w:name w:val="Byline"/>
    <w:rsid w:val="00770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B1F"/>
    <w:pPr>
      <w:tabs>
        <w:tab w:val="clear" w:pos="3600"/>
        <w:tab w:val="clear" w:pos="3958"/>
      </w:tabs>
      <w:jc w:val="right"/>
    </w:pPr>
  </w:style>
  <w:style w:type="character" w:styleId="Emphasis">
    <w:name w:val="Emphasis"/>
    <w:basedOn w:val="DefaultParagraphFont"/>
    <w:qFormat/>
    <w:rsid w:val="00770B1F"/>
    <w:rPr>
      <w:i/>
    </w:rPr>
  </w:style>
  <w:style w:type="paragraph" w:styleId="Caption">
    <w:name w:val="caption"/>
    <w:basedOn w:val="BodyText"/>
    <w:next w:val="Normal"/>
    <w:qFormat/>
    <w:rsid w:val="00770B1F"/>
    <w:pPr>
      <w:framePr w:w="2268" w:hSpace="181" w:vSpace="181" w:wrap="around" w:vAnchor="text" w:hAnchor="page" w:x="1135" w:y="285" w:anchorLock="1"/>
    </w:pPr>
    <w:rPr>
      <w:i/>
    </w:rPr>
  </w:style>
  <w:style w:type="paragraph" w:customStyle="1" w:styleId="MiniTOCTitle">
    <w:name w:val="MiniTOCTitle"/>
    <w:basedOn w:val="Heading4"/>
    <w:rsid w:val="00770B1F"/>
    <w:pPr>
      <w:spacing w:before="240"/>
      <w:outlineLvl w:val="9"/>
    </w:pPr>
    <w:rPr>
      <w:noProof/>
      <w:sz w:val="24"/>
    </w:rPr>
  </w:style>
  <w:style w:type="paragraph" w:customStyle="1" w:styleId="MiniTOCItem">
    <w:name w:val="MiniTOCItem"/>
    <w:basedOn w:val="ListBullet"/>
    <w:rsid w:val="00770B1F"/>
    <w:pPr>
      <w:numPr>
        <w:numId w:val="0"/>
      </w:numPr>
      <w:tabs>
        <w:tab w:val="right" w:leader="dot" w:pos="6521"/>
      </w:tabs>
      <w:spacing w:before="0" w:after="0"/>
    </w:pPr>
  </w:style>
  <w:style w:type="paragraph" w:customStyle="1" w:styleId="TOFTitle">
    <w:name w:val="TOFTitle"/>
    <w:basedOn w:val="TOCTitle"/>
    <w:rsid w:val="00770B1F"/>
  </w:style>
  <w:style w:type="paragraph" w:styleId="TableofFigures">
    <w:name w:val="table of figures"/>
    <w:basedOn w:val="Normal"/>
    <w:next w:val="Normal"/>
    <w:semiHidden/>
    <w:rsid w:val="00770B1F"/>
    <w:pPr>
      <w:tabs>
        <w:tab w:val="right" w:leader="dot" w:pos="9072"/>
      </w:tabs>
      <w:ind w:left="970" w:hanging="403"/>
    </w:pPr>
    <w:rPr>
      <w:rFonts w:ascii="Times New Roman" w:hAnsi="Times New Roman"/>
      <w:b/>
    </w:rPr>
  </w:style>
  <w:style w:type="paragraph" w:styleId="ListNumber">
    <w:name w:val="List Number"/>
    <w:basedOn w:val="List"/>
    <w:rsid w:val="00770B1F"/>
    <w:pPr>
      <w:numPr>
        <w:numId w:val="14"/>
      </w:numPr>
      <w:tabs>
        <w:tab w:val="clear" w:pos="340"/>
      </w:tabs>
    </w:pPr>
  </w:style>
  <w:style w:type="character" w:customStyle="1" w:styleId="WingdingSymbols">
    <w:name w:val="Wingding Symbols"/>
    <w:rsid w:val="00770B1F"/>
    <w:rPr>
      <w:rFonts w:ascii="Wingdings" w:hAnsi="Wingdings"/>
    </w:rPr>
  </w:style>
  <w:style w:type="paragraph" w:customStyle="1" w:styleId="TableHeading">
    <w:name w:val="Table Heading"/>
    <w:basedOn w:val="HeadingBase"/>
    <w:rsid w:val="00770B1F"/>
    <w:pPr>
      <w:keepLines/>
      <w:pBdr>
        <w:bottom w:val="single" w:sz="6" w:space="1" w:color="918585"/>
      </w:pBdr>
      <w:spacing w:before="240"/>
    </w:pPr>
  </w:style>
  <w:style w:type="character" w:customStyle="1" w:styleId="HotSpot">
    <w:name w:val="HotSpot"/>
    <w:rsid w:val="00770B1F"/>
    <w:rPr>
      <w:color w:val="0033CC"/>
      <w:u w:val="none"/>
    </w:rPr>
  </w:style>
  <w:style w:type="paragraph" w:customStyle="1" w:styleId="BodyTextRight">
    <w:name w:val="Body Text Right"/>
    <w:basedOn w:val="BodyText"/>
    <w:rsid w:val="00770B1F"/>
    <w:pPr>
      <w:spacing w:before="0" w:after="0"/>
      <w:jc w:val="right"/>
    </w:pPr>
  </w:style>
  <w:style w:type="paragraph" w:styleId="Index3">
    <w:name w:val="index 3"/>
    <w:basedOn w:val="ListNumber2"/>
    <w:next w:val="Normal"/>
    <w:semiHidden/>
    <w:rsid w:val="00770B1F"/>
    <w:pPr>
      <w:numPr>
        <w:numId w:val="0"/>
      </w:numPr>
      <w:tabs>
        <w:tab w:val="right" w:leader="dot" w:pos="4176"/>
      </w:tabs>
    </w:pPr>
  </w:style>
  <w:style w:type="paragraph" w:styleId="ListNumber2">
    <w:name w:val="List Number 2"/>
    <w:basedOn w:val="List2"/>
    <w:rsid w:val="00770B1F"/>
    <w:pPr>
      <w:numPr>
        <w:numId w:val="9"/>
      </w:numPr>
      <w:tabs>
        <w:tab w:val="clear" w:pos="1060"/>
      </w:tabs>
    </w:pPr>
  </w:style>
  <w:style w:type="paragraph" w:customStyle="1" w:styleId="MarginNote">
    <w:name w:val="Margin Note"/>
    <w:basedOn w:val="BodyText"/>
    <w:rsid w:val="00770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B1F"/>
    <w:rPr>
      <w:sz w:val="32"/>
    </w:rPr>
  </w:style>
  <w:style w:type="paragraph" w:customStyle="1" w:styleId="HeadingProcedure">
    <w:name w:val="Heading Procedure"/>
    <w:basedOn w:val="HeadingBase"/>
    <w:next w:val="Normal"/>
    <w:rsid w:val="00770B1F"/>
    <w:pPr>
      <w:tabs>
        <w:tab w:val="left" w:pos="0"/>
      </w:tabs>
      <w:spacing w:before="120" w:after="60"/>
    </w:pPr>
    <w:rPr>
      <w:i/>
      <w:color w:val="918585"/>
      <w:sz w:val="22"/>
    </w:rPr>
  </w:style>
  <w:style w:type="paragraph" w:customStyle="1" w:styleId="TableBodyText">
    <w:name w:val="Table Body Text"/>
    <w:basedOn w:val="BodyText"/>
    <w:rsid w:val="00770B1F"/>
    <w:pPr>
      <w:spacing w:before="60" w:after="60"/>
    </w:pPr>
  </w:style>
  <w:style w:type="paragraph" w:styleId="ListContinue">
    <w:name w:val="List Continue"/>
    <w:basedOn w:val="List"/>
    <w:rsid w:val="00770B1F"/>
    <w:pPr>
      <w:ind w:firstLine="0"/>
    </w:pPr>
  </w:style>
  <w:style w:type="paragraph" w:customStyle="1" w:styleId="ListNote">
    <w:name w:val="List Note"/>
    <w:basedOn w:val="List"/>
    <w:rsid w:val="00770B1F"/>
    <w:pPr>
      <w:pBdr>
        <w:top w:val="single" w:sz="6" w:space="2" w:color="918585"/>
        <w:bottom w:val="single" w:sz="6" w:space="2" w:color="918585"/>
      </w:pBdr>
      <w:tabs>
        <w:tab w:val="left" w:pos="1021"/>
      </w:tabs>
      <w:ind w:firstLine="0"/>
    </w:pPr>
  </w:style>
  <w:style w:type="paragraph" w:customStyle="1" w:styleId="Warning">
    <w:name w:val="Warning"/>
    <w:basedOn w:val="BodyText"/>
    <w:rsid w:val="00770B1F"/>
    <w:pPr>
      <w:shd w:val="clear" w:color="auto" w:fill="D9D9D9"/>
      <w:tabs>
        <w:tab w:val="left" w:pos="992"/>
      </w:tabs>
      <w:ind w:left="119" w:right="119"/>
    </w:pPr>
    <w:rPr>
      <w:sz w:val="20"/>
    </w:rPr>
  </w:style>
  <w:style w:type="paragraph" w:customStyle="1" w:styleId="MarginIcons">
    <w:name w:val="Margin Icons"/>
    <w:basedOn w:val="BodyText"/>
    <w:rsid w:val="00770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B1F"/>
    <w:rPr>
      <w:rFonts w:ascii="Courier New" w:hAnsi="Courier New"/>
    </w:rPr>
  </w:style>
  <w:style w:type="paragraph" w:customStyle="1" w:styleId="NoteBullet">
    <w:name w:val="Note Bullet"/>
    <w:basedOn w:val="Note"/>
    <w:rsid w:val="00770B1F"/>
    <w:pPr>
      <w:tabs>
        <w:tab w:val="clear" w:pos="680"/>
      </w:tabs>
      <w:spacing w:before="60" w:after="60"/>
    </w:pPr>
  </w:style>
  <w:style w:type="paragraph" w:customStyle="1" w:styleId="SubHeading2">
    <w:name w:val="SubHeading2"/>
    <w:basedOn w:val="HeadingBase"/>
    <w:rsid w:val="00770B1F"/>
    <w:pPr>
      <w:spacing w:before="240" w:after="60"/>
    </w:pPr>
    <w:rPr>
      <w:sz w:val="20"/>
    </w:rPr>
  </w:style>
  <w:style w:type="paragraph" w:customStyle="1" w:styleId="SubHeading1">
    <w:name w:val="SubHeading1"/>
    <w:basedOn w:val="HeadingBase"/>
    <w:rsid w:val="00770B1F"/>
    <w:pPr>
      <w:spacing w:before="240" w:after="60"/>
    </w:pPr>
    <w:rPr>
      <w:color w:val="918585"/>
      <w:sz w:val="22"/>
    </w:rPr>
  </w:style>
  <w:style w:type="paragraph" w:customStyle="1" w:styleId="SideHeading">
    <w:name w:val="Side Heading"/>
    <w:basedOn w:val="HeadingBase"/>
    <w:rsid w:val="00770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B1F"/>
    <w:pPr>
      <w:numPr>
        <w:numId w:val="10"/>
      </w:numPr>
    </w:pPr>
  </w:style>
  <w:style w:type="paragraph" w:styleId="PlainText">
    <w:name w:val="Plain Text"/>
    <w:basedOn w:val="Normal"/>
    <w:link w:val="PlainTextChar"/>
    <w:rsid w:val="00770B1F"/>
    <w:rPr>
      <w:sz w:val="20"/>
    </w:rPr>
  </w:style>
  <w:style w:type="character" w:customStyle="1" w:styleId="PlainTextChar">
    <w:name w:val="Plain Text Char"/>
    <w:basedOn w:val="DefaultParagraphFont"/>
    <w:link w:val="PlainText"/>
    <w:rsid w:val="00770B1F"/>
    <w:rPr>
      <w:rFonts w:ascii="Courier New" w:eastAsia="Times New Roman" w:hAnsi="Courier New" w:cs="Times New Roman"/>
      <w:sz w:val="20"/>
      <w:szCs w:val="20"/>
      <w:lang w:eastAsia="en-US"/>
    </w:rPr>
  </w:style>
  <w:style w:type="character" w:customStyle="1" w:styleId="MenuOption">
    <w:name w:val="Menu Option"/>
    <w:basedOn w:val="DefaultParagraphFont"/>
    <w:rsid w:val="00770B1F"/>
    <w:rPr>
      <w:b/>
      <w:smallCaps/>
    </w:rPr>
  </w:style>
  <w:style w:type="paragraph" w:customStyle="1" w:styleId="TableListNumber">
    <w:name w:val="Table List Number"/>
    <w:basedOn w:val="ListNumber"/>
    <w:rsid w:val="00770B1F"/>
    <w:pPr>
      <w:numPr>
        <w:numId w:val="0"/>
      </w:numPr>
    </w:pPr>
  </w:style>
  <w:style w:type="paragraph" w:styleId="TOC4">
    <w:name w:val="toc 4"/>
    <w:basedOn w:val="TOCBase"/>
    <w:next w:val="Normal"/>
    <w:semiHidden/>
    <w:rsid w:val="00770B1F"/>
    <w:pPr>
      <w:tabs>
        <w:tab w:val="right" w:leader="dot" w:pos="9071"/>
      </w:tabs>
      <w:ind w:left="1701"/>
    </w:pPr>
  </w:style>
  <w:style w:type="paragraph" w:customStyle="1" w:styleId="ListAlpha">
    <w:name w:val="List Alpha"/>
    <w:basedOn w:val="List"/>
    <w:rsid w:val="00770B1F"/>
    <w:pPr>
      <w:numPr>
        <w:numId w:val="8"/>
      </w:numPr>
    </w:pPr>
  </w:style>
  <w:style w:type="paragraph" w:customStyle="1" w:styleId="ListAlpha2">
    <w:name w:val="List Alpha 2"/>
    <w:basedOn w:val="List2"/>
    <w:rsid w:val="00770B1F"/>
    <w:pPr>
      <w:numPr>
        <w:numId w:val="7"/>
      </w:numPr>
    </w:pPr>
  </w:style>
  <w:style w:type="paragraph" w:styleId="List2">
    <w:name w:val="List 2"/>
    <w:basedOn w:val="BodyText"/>
    <w:rsid w:val="00770B1F"/>
    <w:pPr>
      <w:tabs>
        <w:tab w:val="left" w:pos="680"/>
      </w:tabs>
      <w:spacing w:before="60" w:after="60"/>
      <w:ind w:left="680" w:hanging="340"/>
    </w:pPr>
  </w:style>
  <w:style w:type="paragraph" w:styleId="List3">
    <w:name w:val="List 3"/>
    <w:basedOn w:val="BodyText"/>
    <w:rsid w:val="00770B1F"/>
    <w:pPr>
      <w:tabs>
        <w:tab w:val="left" w:pos="1021"/>
      </w:tabs>
      <w:spacing w:before="60" w:after="60"/>
      <w:ind w:left="1020" w:hanging="340"/>
    </w:pPr>
  </w:style>
  <w:style w:type="paragraph" w:styleId="List4">
    <w:name w:val="List 4"/>
    <w:basedOn w:val="BodyText"/>
    <w:rsid w:val="00770B1F"/>
    <w:pPr>
      <w:tabs>
        <w:tab w:val="left" w:pos="1361"/>
      </w:tabs>
      <w:spacing w:before="60" w:after="60"/>
      <w:ind w:left="1361" w:hanging="340"/>
    </w:pPr>
  </w:style>
  <w:style w:type="paragraph" w:styleId="List5">
    <w:name w:val="List 5"/>
    <w:basedOn w:val="BodyText"/>
    <w:rsid w:val="00770B1F"/>
    <w:pPr>
      <w:tabs>
        <w:tab w:val="left" w:pos="1701"/>
      </w:tabs>
      <w:spacing w:before="60" w:after="60"/>
      <w:ind w:left="1701" w:hanging="340"/>
    </w:pPr>
  </w:style>
  <w:style w:type="paragraph" w:styleId="ListBullet3">
    <w:name w:val="List Bullet 3"/>
    <w:basedOn w:val="List3"/>
    <w:rsid w:val="00770B1F"/>
    <w:pPr>
      <w:numPr>
        <w:numId w:val="13"/>
      </w:numPr>
      <w:tabs>
        <w:tab w:val="clear" w:pos="1021"/>
      </w:tabs>
      <w:ind w:left="1037" w:hanging="357"/>
    </w:pPr>
  </w:style>
  <w:style w:type="paragraph" w:styleId="ListBullet4">
    <w:name w:val="List Bullet 4"/>
    <w:basedOn w:val="List4"/>
    <w:rsid w:val="00770B1F"/>
    <w:pPr>
      <w:numPr>
        <w:numId w:val="2"/>
      </w:numPr>
      <w:tabs>
        <w:tab w:val="clear" w:pos="1361"/>
      </w:tabs>
    </w:pPr>
  </w:style>
  <w:style w:type="paragraph" w:styleId="ListBullet5">
    <w:name w:val="List Bullet 5"/>
    <w:basedOn w:val="List5"/>
    <w:rsid w:val="00770B1F"/>
    <w:pPr>
      <w:numPr>
        <w:numId w:val="3"/>
      </w:numPr>
    </w:pPr>
  </w:style>
  <w:style w:type="paragraph" w:styleId="ListContinue2">
    <w:name w:val="List Continue 2"/>
    <w:basedOn w:val="List2"/>
    <w:rsid w:val="00770B1F"/>
    <w:pPr>
      <w:ind w:firstLine="0"/>
    </w:pPr>
  </w:style>
  <w:style w:type="paragraph" w:styleId="ListContinue3">
    <w:name w:val="List Continue 3"/>
    <w:basedOn w:val="List3"/>
    <w:rsid w:val="00770B1F"/>
    <w:pPr>
      <w:ind w:left="1021" w:firstLine="0"/>
    </w:pPr>
  </w:style>
  <w:style w:type="paragraph" w:styleId="ListContinue4">
    <w:name w:val="List Continue 4"/>
    <w:basedOn w:val="List4"/>
    <w:rsid w:val="00770B1F"/>
    <w:pPr>
      <w:ind w:firstLine="0"/>
    </w:pPr>
  </w:style>
  <w:style w:type="paragraph" w:styleId="ListContinue5">
    <w:name w:val="List Continue 5"/>
    <w:basedOn w:val="List5"/>
    <w:rsid w:val="00770B1F"/>
    <w:pPr>
      <w:ind w:firstLine="0"/>
    </w:pPr>
  </w:style>
  <w:style w:type="paragraph" w:styleId="ListNumber3">
    <w:name w:val="List Number 3"/>
    <w:basedOn w:val="List3"/>
    <w:rsid w:val="00770B1F"/>
    <w:pPr>
      <w:numPr>
        <w:numId w:val="4"/>
      </w:numPr>
    </w:pPr>
  </w:style>
  <w:style w:type="paragraph" w:styleId="ListNumber4">
    <w:name w:val="List Number 4"/>
    <w:basedOn w:val="List4"/>
    <w:rsid w:val="00770B1F"/>
    <w:pPr>
      <w:numPr>
        <w:numId w:val="5"/>
      </w:numPr>
    </w:pPr>
  </w:style>
  <w:style w:type="paragraph" w:styleId="ListNumber5">
    <w:name w:val="List Number 5"/>
    <w:basedOn w:val="List5"/>
    <w:rsid w:val="00770B1F"/>
    <w:pPr>
      <w:numPr>
        <w:numId w:val="6"/>
      </w:numPr>
    </w:pPr>
  </w:style>
  <w:style w:type="paragraph" w:styleId="BlockText">
    <w:name w:val="Block Text"/>
    <w:basedOn w:val="Normal"/>
    <w:rsid w:val="00770B1F"/>
    <w:pPr>
      <w:spacing w:after="120"/>
      <w:ind w:left="1440" w:right="1440"/>
    </w:pPr>
  </w:style>
  <w:style w:type="character" w:customStyle="1" w:styleId="Subscript">
    <w:name w:val="Subscript"/>
    <w:basedOn w:val="DefaultParagraphFont"/>
    <w:rsid w:val="00770B1F"/>
    <w:rPr>
      <w:sz w:val="16"/>
      <w:vertAlign w:val="subscript"/>
    </w:rPr>
  </w:style>
  <w:style w:type="character" w:customStyle="1" w:styleId="Superscript">
    <w:name w:val="Superscript"/>
    <w:basedOn w:val="DefaultParagraphFont"/>
    <w:rsid w:val="00770B1F"/>
    <w:rPr>
      <w:sz w:val="16"/>
      <w:vertAlign w:val="superscript"/>
    </w:rPr>
  </w:style>
  <w:style w:type="character" w:customStyle="1" w:styleId="Symbols">
    <w:name w:val="Symbols"/>
    <w:basedOn w:val="DefaultParagraphFont"/>
    <w:rsid w:val="00770B1F"/>
    <w:rPr>
      <w:rFonts w:ascii="Symbol" w:hAnsi="Symbol"/>
    </w:rPr>
  </w:style>
  <w:style w:type="character" w:customStyle="1" w:styleId="MenuOptions">
    <w:name w:val="Menu Options"/>
    <w:basedOn w:val="DefaultParagraphFont"/>
    <w:rsid w:val="00770B1F"/>
    <w:rPr>
      <w:rFonts w:ascii="Arial Narrow" w:hAnsi="Arial Narrow"/>
      <w:smallCaps/>
    </w:rPr>
  </w:style>
  <w:style w:type="character" w:customStyle="1" w:styleId="Buttons">
    <w:name w:val="Buttons"/>
    <w:basedOn w:val="DefaultParagraphFont"/>
    <w:rsid w:val="00770B1F"/>
    <w:rPr>
      <w:b/>
    </w:rPr>
  </w:style>
  <w:style w:type="character" w:customStyle="1" w:styleId="Underlined">
    <w:name w:val="Underlined"/>
    <w:basedOn w:val="DefaultParagraphFont"/>
    <w:rsid w:val="00770B1F"/>
    <w:rPr>
      <w:u w:val="single"/>
    </w:rPr>
  </w:style>
  <w:style w:type="paragraph" w:customStyle="1" w:styleId="TableBodyTextRight">
    <w:name w:val="Table Body Text Right"/>
    <w:basedOn w:val="TableBodyText"/>
    <w:rsid w:val="00770B1F"/>
    <w:pPr>
      <w:widowControl w:val="0"/>
      <w:autoSpaceDE w:val="0"/>
      <w:autoSpaceDN w:val="0"/>
      <w:adjustRightInd w:val="0"/>
      <w:jc w:val="right"/>
    </w:pPr>
    <w:rPr>
      <w:rFonts w:cs="Arial"/>
      <w:szCs w:val="18"/>
    </w:rPr>
  </w:style>
  <w:style w:type="paragraph" w:customStyle="1" w:styleId="CopyrightText">
    <w:name w:val="Copyright Text"/>
    <w:basedOn w:val="BodyText"/>
    <w:rsid w:val="00770B1F"/>
    <w:rPr>
      <w:sz w:val="18"/>
    </w:rPr>
  </w:style>
  <w:style w:type="paragraph" w:customStyle="1" w:styleId="BodySmallRight">
    <w:name w:val="Body Small Right"/>
    <w:basedOn w:val="BodyTextRight"/>
    <w:rsid w:val="00770B1F"/>
    <w:rPr>
      <w:sz w:val="18"/>
      <w:szCs w:val="18"/>
    </w:rPr>
  </w:style>
  <w:style w:type="paragraph" w:customStyle="1" w:styleId="MarginEdition">
    <w:name w:val="Margin Edition"/>
    <w:basedOn w:val="MarginNote"/>
    <w:rsid w:val="00770B1F"/>
    <w:pPr>
      <w:spacing w:before="0" w:after="0"/>
    </w:pPr>
    <w:rPr>
      <w:rFonts w:ascii="Times New Roman" w:hAnsi="Times New Roman"/>
      <w:color w:val="999999"/>
    </w:rPr>
  </w:style>
  <w:style w:type="paragraph" w:customStyle="1" w:styleId="Spacer">
    <w:name w:val="Spacer"/>
    <w:basedOn w:val="Normal"/>
    <w:rsid w:val="00770B1F"/>
    <w:rPr>
      <w:sz w:val="2"/>
      <w:szCs w:val="2"/>
    </w:rPr>
  </w:style>
  <w:style w:type="character" w:customStyle="1" w:styleId="Small">
    <w:name w:val="Small"/>
    <w:basedOn w:val="DefaultParagraphFont"/>
    <w:rsid w:val="00770B1F"/>
    <w:rPr>
      <w:sz w:val="16"/>
    </w:rPr>
  </w:style>
  <w:style w:type="paragraph" w:customStyle="1" w:styleId="WideTable">
    <w:name w:val="Wide Table"/>
    <w:basedOn w:val="Normal"/>
    <w:rsid w:val="00770B1F"/>
    <w:pPr>
      <w:ind w:left="-1418"/>
    </w:pPr>
    <w:rPr>
      <w:sz w:val="2"/>
      <w:szCs w:val="2"/>
    </w:rPr>
  </w:style>
  <w:style w:type="character" w:styleId="PageNumber">
    <w:name w:val="page number"/>
    <w:basedOn w:val="DefaultParagraphFont"/>
    <w:rsid w:val="00770B1F"/>
  </w:style>
  <w:style w:type="paragraph" w:styleId="Quote">
    <w:name w:val="Quote"/>
    <w:basedOn w:val="Heading1"/>
    <w:link w:val="QuoteChar"/>
    <w:qFormat/>
    <w:rsid w:val="00770B1F"/>
    <w:rPr>
      <w:b w:val="0"/>
      <w:sz w:val="72"/>
      <w:szCs w:val="72"/>
      <w:lang w:val="en-NZ"/>
    </w:rPr>
  </w:style>
  <w:style w:type="character" w:customStyle="1" w:styleId="QuoteChar">
    <w:name w:val="Quote Char"/>
    <w:basedOn w:val="DefaultParagraphFont"/>
    <w:link w:val="Quote"/>
    <w:rsid w:val="00770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B1F"/>
    <w:pPr>
      <w:pageBreakBefore/>
    </w:pPr>
  </w:style>
  <w:style w:type="paragraph" w:customStyle="1" w:styleId="Border">
    <w:name w:val="Border"/>
    <w:basedOn w:val="Normal"/>
    <w:qFormat/>
    <w:rsid w:val="00770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B1F"/>
    <w:rPr>
      <w:b/>
      <w:bCs/>
      <w:i/>
      <w:iCs/>
      <w:color w:val="auto"/>
    </w:rPr>
  </w:style>
  <w:style w:type="paragraph" w:styleId="IntenseQuote">
    <w:name w:val="Intense Quote"/>
    <w:basedOn w:val="Normal"/>
    <w:next w:val="Normal"/>
    <w:link w:val="IntenseQuoteChar"/>
    <w:uiPriority w:val="30"/>
    <w:qFormat/>
    <w:rsid w:val="00770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B1F"/>
    <w:rPr>
      <w:smallCaps/>
      <w:color w:val="auto"/>
      <w:u w:val="single"/>
    </w:rPr>
  </w:style>
  <w:style w:type="character" w:styleId="IntenseReference">
    <w:name w:val="Intense Reference"/>
    <w:basedOn w:val="DefaultParagraphFont"/>
    <w:uiPriority w:val="32"/>
    <w:qFormat/>
    <w:rsid w:val="00770B1F"/>
    <w:rPr>
      <w:b/>
      <w:bCs/>
      <w:smallCaps/>
      <w:color w:val="auto"/>
      <w:spacing w:val="5"/>
      <w:u w:val="single"/>
    </w:rPr>
  </w:style>
  <w:style w:type="paragraph" w:customStyle="1" w:styleId="2ColumnHeading">
    <w:name w:val="2Column Heading"/>
    <w:basedOn w:val="BodyText"/>
    <w:qFormat/>
    <w:rsid w:val="00770B1F"/>
    <w:pPr>
      <w:spacing w:after="60"/>
      <w:ind w:left="-2268"/>
    </w:pPr>
    <w:rPr>
      <w:b/>
    </w:rPr>
  </w:style>
  <w:style w:type="paragraph" w:customStyle="1" w:styleId="Heading1TOC">
    <w:name w:val="Heading1 TOC"/>
    <w:basedOn w:val="Normal"/>
    <w:qFormat/>
    <w:rsid w:val="00770B1F"/>
    <w:pPr>
      <w:spacing w:before="240" w:after="120"/>
    </w:pPr>
    <w:rPr>
      <w:rFonts w:ascii="Times New Roman" w:hAnsi="Times New Roman"/>
      <w:b/>
      <w:sz w:val="32"/>
    </w:rPr>
  </w:style>
  <w:style w:type="paragraph" w:customStyle="1" w:styleId="Heading2TOC">
    <w:name w:val="Heading2 TOC"/>
    <w:basedOn w:val="Normal"/>
    <w:qFormat/>
    <w:rsid w:val="00770B1F"/>
    <w:pPr>
      <w:spacing w:before="240" w:after="60"/>
    </w:pPr>
    <w:rPr>
      <w:rFonts w:ascii="Times New Roman" w:hAnsi="Times New Roman"/>
      <w:b/>
      <w:sz w:val="28"/>
    </w:rPr>
  </w:style>
  <w:style w:type="character" w:customStyle="1" w:styleId="Underline">
    <w:name w:val="Underline"/>
    <w:basedOn w:val="DefaultParagraphFont"/>
    <w:qFormat/>
    <w:rsid w:val="00770B1F"/>
    <w:rPr>
      <w:u w:val="single"/>
    </w:rPr>
  </w:style>
  <w:style w:type="character" w:customStyle="1" w:styleId="BoldandItalics">
    <w:name w:val="Bold and Italics"/>
    <w:qFormat/>
    <w:rsid w:val="00770B1F"/>
    <w:rPr>
      <w:b/>
      <w:i/>
      <w:u w:val="none"/>
    </w:rPr>
  </w:style>
  <w:style w:type="paragraph" w:styleId="BalloonText">
    <w:name w:val="Balloon Text"/>
    <w:basedOn w:val="Normal"/>
    <w:link w:val="BalloonTextChar"/>
    <w:rsid w:val="00770B1F"/>
    <w:rPr>
      <w:rFonts w:ascii="Tahoma" w:hAnsi="Tahoma" w:cs="Tahoma"/>
      <w:sz w:val="16"/>
      <w:szCs w:val="16"/>
    </w:rPr>
  </w:style>
  <w:style w:type="character" w:customStyle="1" w:styleId="BalloonTextChar">
    <w:name w:val="Balloon Text Char"/>
    <w:basedOn w:val="DefaultParagraphFont"/>
    <w:link w:val="BalloonText"/>
    <w:rsid w:val="00770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B1F"/>
    <w:rPr>
      <w:b/>
      <w:color w:val="660033"/>
      <w:spacing w:val="0"/>
    </w:rPr>
  </w:style>
  <w:style w:type="paragraph" w:customStyle="1" w:styleId="Nameditemlist">
    <w:name w:val="Named item list"/>
    <w:basedOn w:val="BodyText"/>
    <w:qFormat/>
    <w:rsid w:val="00770B1F"/>
    <w:pPr>
      <w:tabs>
        <w:tab w:val="left" w:pos="2835"/>
      </w:tabs>
      <w:ind w:left="2835" w:hanging="2835"/>
    </w:pPr>
  </w:style>
  <w:style w:type="paragraph" w:customStyle="1" w:styleId="BodyTextnopadding">
    <w:name w:val="Body Text no padding"/>
    <w:basedOn w:val="BodyText"/>
    <w:qFormat/>
    <w:rsid w:val="00770B1F"/>
    <w:pPr>
      <w:spacing w:before="0" w:after="0"/>
    </w:pPr>
  </w:style>
  <w:style w:type="paragraph" w:customStyle="1" w:styleId="BodyTextBold">
    <w:name w:val="Body Text Bold"/>
    <w:basedOn w:val="BodyText"/>
    <w:qFormat/>
    <w:rsid w:val="00770B1F"/>
    <w:rPr>
      <w:b/>
    </w:rPr>
  </w:style>
  <w:style w:type="character" w:styleId="Hyperlink">
    <w:name w:val="Hyperlink"/>
    <w:basedOn w:val="DefaultParagraphFont"/>
    <w:uiPriority w:val="99"/>
    <w:unhideWhenUsed/>
    <w:rsid w:val="00CF5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4434</Characters>
  <Application>Microsoft Office Word</Application>
  <DocSecurity>0</DocSecurity>
  <Lines>221</Lines>
  <Paragraphs>126</Paragraphs>
  <ScaleCrop>false</ScaleCrop>
  <Company>Author-it Software Corporation Ltd.</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MEM18057 Maintain/service analog/digital electronic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