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66A" w:rsidP="002C566A">
      <w:pPr>
        <w:pStyle w:val="Title"/>
      </w:pPr>
      <w:r>
        <w:fldChar w:fldCharType="begin"/>
      </w:r>
      <w:r>
        <w:instrText xml:space="preserve"> TITLE   \* MERGEFORMAT </w:instrText>
      </w:r>
      <w:r>
        <w:fldChar w:fldCharType="separate"/>
      </w:r>
      <w:r>
        <w:t>MEM18056 Diagnose and repair analog equipment and components</w:t>
      </w:r>
      <w:r>
        <w:fldChar w:fldCharType="end"/>
      </w:r>
    </w:p>
    <w:p w:rsidR="002C566A" w:rsidP="002C566A">
      <w:pPr>
        <w:pStyle w:val="Version"/>
        <w:sectPr w:rsidSect="003750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50ED" w:rsidP="003750ED">
      <w:pPr>
        <w:pStyle w:val="SuperHeading"/>
      </w:pPr>
      <w:r w:rsidRPr="003750ED">
        <w:t>MEM18056 Diagnose and repair analog equipment and components</w:t>
      </w:r>
    </w:p>
    <w:p w:rsidR="00000000" w:rsidRPr="003750ED" w:rsidP="003750ED">
      <w:pPr>
        <w:pStyle w:val="Heading1"/>
      </w:pPr>
      <w:bookmarkStart w:id="1" w:name="O_941332"/>
      <w:bookmarkEnd w:id="1"/>
      <w:r w:rsidRPr="003750ED">
        <w:t>Modification History</w:t>
      </w:r>
    </w:p>
    <w:p w:rsidR="00000000" w:rsidRPr="003750ED" w:rsidP="002C566A">
      <w:pPr>
        <w:pStyle w:val="BodyText"/>
      </w:pPr>
      <w:r w:rsidRPr="003750ED">
        <w:t xml:space="preserve">Release 1. Supersedes and is equivalent to MEM18056B Diagnose and repair analog equipment and components </w:t>
      </w:r>
    </w:p>
    <w:p w:rsidR="00000000" w:rsidRPr="003750ED" w:rsidP="003750ED">
      <w:pPr>
        <w:pStyle w:val="Heading1"/>
      </w:pPr>
      <w:bookmarkStart w:id="2" w:name="O_941340"/>
      <w:bookmarkEnd w:id="2"/>
      <w:r w:rsidRPr="003750ED">
        <w:t>Application</w:t>
      </w:r>
    </w:p>
    <w:p w:rsidR="00000000" w:rsidRPr="003750ED" w:rsidP="002C566A">
      <w:pPr>
        <w:pStyle w:val="BodyText"/>
      </w:pPr>
      <w:r w:rsidRPr="003750ED">
        <w:t>This unit of competency defines the skills and knowledge required to locate faults i</w:t>
      </w:r>
      <w:r w:rsidRPr="003750ED">
        <w:t>n analog electronic equipment or sub-assemblies, and replace faulty components.</w:t>
      </w:r>
    </w:p>
    <w:p w:rsidR="00000000" w:rsidRPr="003750ED" w:rsidP="002C566A">
      <w:pPr>
        <w:pStyle w:val="BodyText"/>
      </w:pPr>
      <w:r w:rsidRPr="003750ED">
        <w:t>Where soldering of components is required to advanced or military specifications, where the reliability of electrical connections is critical, or where surface mounted devices</w:t>
      </w:r>
      <w:r w:rsidRPr="003750ED">
        <w:t xml:space="preserve"> are being soldered/de-soldered then unit MEM05002 Perform high reliability soldering and desoldering should also be selected. </w:t>
      </w:r>
    </w:p>
    <w:p w:rsidR="00000000" w:rsidRPr="003750ED" w:rsidP="002C566A">
      <w:pPr>
        <w:pStyle w:val="BodyText"/>
      </w:pPr>
      <w:r w:rsidRPr="003750ED">
        <w:t>Where termination of cables is required unit MEM10002 Terminate and connect electrical wiring and unit MEM18063 Terminate signa</w:t>
      </w:r>
      <w:r w:rsidRPr="003750ED">
        <w:t>l and data cables, should also be selected as appropriate.</w:t>
      </w:r>
    </w:p>
    <w:p w:rsidR="00000000" w:rsidRPr="003750ED" w:rsidP="002C566A">
      <w:pPr>
        <w:pStyle w:val="BodyText"/>
      </w:pPr>
      <w:r w:rsidRPr="003750ED">
        <w:t xml:space="preserve">Where the selection and use of engineering measurement is required unit MEM12023 Perform engineering measurements should also be selected. </w:t>
      </w:r>
    </w:p>
    <w:p w:rsidR="00000000" w:rsidRPr="003750ED" w:rsidP="002C566A">
      <w:pPr>
        <w:pStyle w:val="BodyText"/>
      </w:pPr>
      <w:r w:rsidRPr="003750ED">
        <w:t>Where the selection and use of power tools/hand held op</w:t>
      </w:r>
      <w:r w:rsidRPr="003750ED">
        <w:t>erations is required unit MEM18002 Use power tools/hand held operations should also be selected.</w:t>
      </w:r>
    </w:p>
    <w:p w:rsidR="00000000" w:rsidRPr="003750ED" w:rsidP="002C566A">
      <w:pPr>
        <w:pStyle w:val="BodyText"/>
      </w:pPr>
      <w:r w:rsidRPr="003750ED">
        <w:t>No licensing, legislative or certification requirements apply to this unit at the time of publication.</w:t>
      </w:r>
    </w:p>
    <w:p w:rsidR="00000000" w:rsidRPr="003750ED" w:rsidP="002C566A">
      <w:pPr>
        <w:pStyle w:val="Heading3"/>
      </w:pPr>
      <w:r w:rsidRPr="003750ED">
        <w:rPr>
          <w:rStyle w:val="SpecialBold"/>
        </w:rPr>
        <w:t>Band:</w:t>
      </w:r>
    </w:p>
    <w:p w:rsidR="00000000" w:rsidRPr="003750ED" w:rsidP="002C566A">
      <w:pPr>
        <w:pStyle w:val="BodyText"/>
      </w:pPr>
      <w:r w:rsidRPr="003750ED">
        <w:t xml:space="preserve">This unit has dual status and is to be regarded </w:t>
      </w:r>
      <w:r w:rsidRPr="003750ED">
        <w:t>as both a Specialisation Band A unit and Specialisation Band B unit for progression to C7 (AQF level IV).</w:t>
      </w:r>
    </w:p>
    <w:p w:rsidR="00000000" w:rsidRPr="003750ED" w:rsidP="002C566A">
      <w:pPr>
        <w:pStyle w:val="Heading3"/>
      </w:pPr>
      <w:r w:rsidRPr="003750ED">
        <w:rPr>
          <w:rStyle w:val="SpecialBold"/>
        </w:rPr>
        <w:t>Unit Weight</w:t>
      </w:r>
      <w:r w:rsidRPr="003750ED">
        <w:t>:</w:t>
      </w:r>
      <w:r w:rsidRPr="003750ED">
        <w:tab/>
      </w:r>
      <w:r w:rsidRPr="003750ED">
        <w:rPr>
          <w:rStyle w:val="SpecialBold"/>
        </w:rPr>
        <w:t>10</w:t>
      </w:r>
    </w:p>
    <w:p w:rsidR="00000000" w:rsidRPr="003750ED" w:rsidP="003750ED">
      <w:pPr>
        <w:pStyle w:val="Heading1"/>
      </w:pPr>
      <w:bookmarkStart w:id="3" w:name="O_941339"/>
      <w:bookmarkEnd w:id="3"/>
      <w:r w:rsidRPr="003750ED">
        <w:t>Pre-requisite Unit</w:t>
      </w:r>
    </w:p>
    <w:tbl>
      <w:tblPr>
        <w:tblW w:w="0" w:type="auto"/>
        <w:tblLayout w:type="fixed"/>
        <w:tblCellMar>
          <w:left w:w="62" w:type="dxa"/>
          <w:right w:w="62" w:type="dxa"/>
        </w:tblCellMar>
        <w:tblLook w:val="0000"/>
      </w:tblPr>
      <w:tblGrid>
        <w:gridCol w:w="2204"/>
        <w:gridCol w:w="6360"/>
      </w:tblGrid>
      <w:tr w:rsidTr="003750E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MEM05001</w:t>
            </w:r>
          </w:p>
        </w:tc>
        <w:tc>
          <w:tcPr>
            <w:tcW w:w="6360"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 xml:space="preserve">Perform manual soldering/desoldering - electrical/electronic </w:t>
            </w:r>
            <w:r w:rsidRPr="003750ED">
              <w:t>components</w:t>
            </w:r>
          </w:p>
        </w:tc>
      </w:tr>
      <w:tr w:rsidTr="003750E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MEM09002</w:t>
            </w:r>
          </w:p>
        </w:tc>
        <w:tc>
          <w:tcPr>
            <w:tcW w:w="6360"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Interpret technical drawing</w:t>
            </w:r>
          </w:p>
        </w:tc>
      </w:tr>
      <w:tr w:rsidTr="003750E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MEM11011</w:t>
            </w:r>
          </w:p>
        </w:tc>
        <w:tc>
          <w:tcPr>
            <w:tcW w:w="6360"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Undertake manual handling</w:t>
            </w:r>
          </w:p>
        </w:tc>
      </w:tr>
      <w:tr w:rsidTr="003750E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MEM12004</w:t>
            </w:r>
          </w:p>
        </w:tc>
        <w:tc>
          <w:tcPr>
            <w:tcW w:w="6360"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Perform precision electrical/electronic measurement</w:t>
            </w:r>
          </w:p>
        </w:tc>
      </w:tr>
      <w:tr w:rsidTr="003750E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MEM13015</w:t>
            </w:r>
          </w:p>
        </w:tc>
        <w:tc>
          <w:tcPr>
            <w:tcW w:w="6360"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Work safely and effectively in manufacturing and engineering</w:t>
            </w:r>
          </w:p>
        </w:tc>
      </w:tr>
      <w:tr w:rsidTr="003750E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MEM16006</w:t>
            </w:r>
          </w:p>
        </w:tc>
        <w:tc>
          <w:tcPr>
            <w:tcW w:w="6360"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Organise and communicate information</w:t>
            </w:r>
          </w:p>
        </w:tc>
      </w:tr>
      <w:tr w:rsidTr="003750E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MEM18001</w:t>
            </w:r>
          </w:p>
        </w:tc>
        <w:tc>
          <w:tcPr>
            <w:tcW w:w="6360"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Us</w:t>
            </w:r>
            <w:r w:rsidRPr="003750ED">
              <w:t>e hand tools</w:t>
            </w:r>
          </w:p>
        </w:tc>
      </w:tr>
      <w:tr w:rsidTr="003750E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MEM18057</w:t>
            </w:r>
          </w:p>
        </w:tc>
        <w:tc>
          <w:tcPr>
            <w:tcW w:w="6360" w:type="dxa"/>
            <w:tcBorders>
              <w:top w:val="nil"/>
              <w:left w:val="nil"/>
              <w:bottom w:val="nil"/>
              <w:right w:val="nil"/>
            </w:tcBorders>
            <w:tcMar>
              <w:top w:w="0" w:type="dxa"/>
              <w:left w:w="62" w:type="dxa"/>
              <w:bottom w:w="0" w:type="dxa"/>
              <w:right w:w="62" w:type="dxa"/>
            </w:tcMar>
          </w:tcPr>
          <w:p w:rsidR="00000000" w:rsidRPr="003750ED" w:rsidP="003750ED">
            <w:pPr>
              <w:pStyle w:val="BodyText"/>
            </w:pPr>
            <w:r w:rsidRPr="003750ED">
              <w:t>Maintain/service analog/digital electronic equipment</w:t>
            </w:r>
          </w:p>
        </w:tc>
      </w:tr>
    </w:tbl>
    <w:p w:rsidR="00000000" w:rsidRPr="003750ED" w:rsidP="003750ED">
      <w:pPr>
        <w:pStyle w:val="BodyText"/>
      </w:pPr>
    </w:p>
    <w:p w:rsidR="00000000" w:rsidRPr="003750ED" w:rsidP="003750ED">
      <w:pPr>
        <w:pStyle w:val="AllowPageBreak"/>
      </w:pPr>
    </w:p>
    <w:p w:rsidR="00000000" w:rsidRPr="003750ED" w:rsidP="003750ED">
      <w:pPr>
        <w:pStyle w:val="Heading1"/>
      </w:pPr>
      <w:bookmarkStart w:id="4" w:name="O_941338"/>
      <w:bookmarkEnd w:id="4"/>
      <w:r w:rsidRPr="003750ED">
        <w:t>Competency Field</w:t>
      </w:r>
    </w:p>
    <w:p w:rsidR="00000000" w:rsidRPr="003750ED" w:rsidP="002C566A">
      <w:pPr>
        <w:pStyle w:val="BodyText"/>
      </w:pPr>
      <w:r w:rsidRPr="003750ED">
        <w:t>Maintenance and diagnostics</w:t>
      </w:r>
    </w:p>
    <w:p w:rsidR="00000000" w:rsidRPr="003750ED" w:rsidP="003750ED">
      <w:pPr>
        <w:pStyle w:val="Heading1"/>
      </w:pPr>
      <w:bookmarkStart w:id="5" w:name="O_941336"/>
      <w:bookmarkEnd w:id="5"/>
      <w:r w:rsidRPr="003750ED">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3750ED">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Performance criteria describe the performance needed to demonstrate achievement of the element.</w:t>
            </w:r>
          </w:p>
        </w:tc>
      </w:tr>
      <w:tr w:rsidTr="003750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3750ED" w:rsidP="003750ED">
            <w:pPr>
              <w:pStyle w:val="BodyText"/>
            </w:pPr>
            <w:r w:rsidRPr="003750ED">
              <w:t>1</w:t>
            </w:r>
          </w:p>
        </w:tc>
        <w:tc>
          <w:tcPr>
            <w:tcW w:w="1974" w:type="dxa"/>
            <w:vMerge w:val="restart"/>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1.1</w:t>
            </w:r>
          </w:p>
        </w:tc>
        <w:tc>
          <w:tcPr>
            <w:tcW w:w="5641"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Follow standard operating procedures (SOPs)</w:t>
            </w:r>
          </w:p>
        </w:tc>
      </w:tr>
      <w:tr w:rsidTr="003750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1.2</w:t>
            </w:r>
          </w:p>
        </w:tc>
        <w:tc>
          <w:tcPr>
            <w:tcW w:w="5641"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Comply with work health and safety (WHS) requirements at all times</w:t>
            </w:r>
          </w:p>
        </w:tc>
      </w:tr>
      <w:tr w:rsidTr="003750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1.3</w:t>
            </w:r>
          </w:p>
        </w:tc>
        <w:tc>
          <w:tcPr>
            <w:tcW w:w="5641"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Use appropriate personal protective equipment (PPE) in accordance with SOPs</w:t>
            </w:r>
          </w:p>
        </w:tc>
      </w:tr>
      <w:tr w:rsidTr="003750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1.4</w:t>
            </w:r>
          </w:p>
        </w:tc>
        <w:tc>
          <w:tcPr>
            <w:tcW w:w="5641"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Identify job requirements from specifications, drawings, job sheets or work instructions</w:t>
            </w:r>
          </w:p>
        </w:tc>
      </w:tr>
      <w:tr w:rsidTr="003750ED">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3750ED">
            <w:pPr>
              <w:pStyle w:val="BodyText"/>
              <w:rPr>
                <w:lang w:val="en-NZ"/>
              </w:rPr>
            </w:pPr>
          </w:p>
        </w:tc>
      </w:tr>
      <w:tr w:rsidTr="003750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3750ED" w:rsidP="003750ED">
            <w:pPr>
              <w:pStyle w:val="BodyText"/>
            </w:pPr>
            <w:r w:rsidRPr="003750ED">
              <w:t>2</w:t>
            </w:r>
          </w:p>
        </w:tc>
        <w:tc>
          <w:tcPr>
            <w:tcW w:w="1974" w:type="dxa"/>
            <w:vMerge w:val="restart"/>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rPr>
                <w:rStyle w:val="SpecialBold"/>
              </w:rPr>
              <w:t>Locate fault in electronic system/sub-assembly</w:t>
            </w:r>
          </w:p>
        </w:tc>
        <w:tc>
          <w:tcPr>
            <w:tcW w:w="775"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2.1</w:t>
            </w:r>
          </w:p>
        </w:tc>
        <w:tc>
          <w:tcPr>
            <w:tcW w:w="5641"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Determine functions and principles of system/sub-assembly with reference to equipment manuals and circuit diagrams</w:t>
            </w:r>
          </w:p>
        </w:tc>
      </w:tr>
      <w:tr w:rsidTr="003750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2.2</w:t>
            </w:r>
          </w:p>
        </w:tc>
        <w:tc>
          <w:tcPr>
            <w:tcW w:w="5641"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Run built-in test functions and fault indicator error codes and check and review appropriate maintenance records</w:t>
            </w:r>
          </w:p>
        </w:tc>
      </w:tr>
      <w:tr w:rsidTr="003750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2.3</w:t>
            </w:r>
          </w:p>
        </w:tc>
        <w:tc>
          <w:tcPr>
            <w:tcW w:w="5641"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 xml:space="preserve">Reproduce fault symptoms and verify using appropriate </w:t>
            </w:r>
            <w:r w:rsidRPr="003750ED">
              <w:t>fault-finding techniques</w:t>
            </w:r>
          </w:p>
        </w:tc>
      </w:tr>
      <w:tr w:rsidTr="003750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2.4</w:t>
            </w:r>
          </w:p>
        </w:tc>
        <w:tc>
          <w:tcPr>
            <w:tcW w:w="5641"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Isolate and remove faulty sub-assembly from electronic system using appropriate tools and techniques, where appropriate</w:t>
            </w:r>
          </w:p>
        </w:tc>
      </w:tr>
      <w:tr w:rsidTr="003750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2.5</w:t>
            </w:r>
          </w:p>
        </w:tc>
        <w:tc>
          <w:tcPr>
            <w:tcW w:w="5641"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Check and test sub-assembly using appropria</w:t>
            </w:r>
            <w:r w:rsidRPr="003750ED">
              <w:t>te test equipment and fault-finding techniques</w:t>
            </w:r>
          </w:p>
        </w:tc>
      </w:tr>
      <w:tr w:rsidTr="003750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2.6</w:t>
            </w:r>
          </w:p>
        </w:tc>
        <w:tc>
          <w:tcPr>
            <w:tcW w:w="5641"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Identify faulty component and/or isolate fault cause</w:t>
            </w:r>
          </w:p>
        </w:tc>
      </w:tr>
      <w:tr w:rsidTr="003750ED">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3750ED">
            <w:pPr>
              <w:pStyle w:val="BodyText"/>
              <w:rPr>
                <w:lang w:val="en-NZ"/>
              </w:rPr>
            </w:pPr>
          </w:p>
        </w:tc>
      </w:tr>
      <w:tr w:rsidTr="003750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3750ED" w:rsidP="003750ED">
            <w:pPr>
              <w:pStyle w:val="BodyText"/>
            </w:pPr>
            <w:r w:rsidRPr="003750ED">
              <w:t>3</w:t>
            </w:r>
          </w:p>
        </w:tc>
        <w:tc>
          <w:tcPr>
            <w:tcW w:w="1974" w:type="dxa"/>
            <w:vMerge w:val="restart"/>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rPr>
                <w:rStyle w:val="SpecialBold"/>
              </w:rPr>
              <w:t>Repair/replace faulty components</w:t>
            </w:r>
          </w:p>
        </w:tc>
        <w:tc>
          <w:tcPr>
            <w:tcW w:w="775"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3.1</w:t>
            </w:r>
          </w:p>
        </w:tc>
        <w:tc>
          <w:tcPr>
            <w:tcW w:w="5641"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Remove faulty component using appropriate tools and techniques</w:t>
            </w:r>
          </w:p>
        </w:tc>
      </w:tr>
      <w:tr w:rsidTr="003750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3.2</w:t>
            </w:r>
          </w:p>
        </w:tc>
        <w:tc>
          <w:tcPr>
            <w:tcW w:w="5641"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Repair/replace faulty component in accordance with site/manufacturers</w:t>
            </w:r>
            <w:r>
              <w:t>’</w:t>
            </w:r>
            <w:r w:rsidRPr="003750ED">
              <w:t xml:space="preserve"> recommended procedure</w:t>
            </w:r>
          </w:p>
        </w:tc>
      </w:tr>
      <w:tr w:rsidTr="003750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3.3</w:t>
            </w:r>
          </w:p>
        </w:tc>
        <w:tc>
          <w:tcPr>
            <w:tcW w:w="5641"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Re-fit repaired/replacement components into system/sub-assembly</w:t>
            </w:r>
          </w:p>
        </w:tc>
      </w:tr>
      <w:tr w:rsidTr="003750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3.4</w:t>
            </w:r>
          </w:p>
        </w:tc>
        <w:tc>
          <w:tcPr>
            <w:tcW w:w="5641"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 xml:space="preserve">Refit repaired sub-assembly to electronic system, where appropriate </w:t>
            </w:r>
          </w:p>
        </w:tc>
      </w:tr>
      <w:tr w:rsidTr="003750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3.5</w:t>
            </w:r>
          </w:p>
        </w:tc>
        <w:tc>
          <w:tcPr>
            <w:tcW w:w="5641" w:type="dxa"/>
            <w:tcBorders>
              <w:top w:val="nil"/>
              <w:left w:val="nil"/>
              <w:bottom w:val="nil"/>
              <w:right w:val="nil"/>
            </w:tcBorders>
            <w:tcMar>
              <w:top w:w="0" w:type="dxa"/>
              <w:left w:w="62" w:type="dxa"/>
              <w:bottom w:w="0" w:type="dxa"/>
              <w:right w:w="62" w:type="dxa"/>
            </w:tcMar>
          </w:tcPr>
          <w:p w:rsidR="00000000" w:rsidRPr="003750ED" w:rsidP="003750ED">
            <w:pPr>
              <w:pStyle w:val="BodyText"/>
            </w:pPr>
            <w:r w:rsidRPr="003750ED">
              <w:t>Check and test systems/sub-assembly for compliance with specifications utilising appropriate test procedures and equipment</w:t>
            </w:r>
          </w:p>
        </w:tc>
      </w:tr>
    </w:tbl>
    <w:p w:rsidR="002C566A" w:rsidP="003750ED">
      <w:pPr>
        <w:pStyle w:val="BodyText"/>
      </w:pPr>
    </w:p>
    <w:p w:rsidR="002C566A" w:rsidP="003750ED">
      <w:pPr>
        <w:pStyle w:val="BodyText"/>
      </w:pPr>
    </w:p>
    <w:p w:rsidR="00000000" w:rsidRPr="003750ED" w:rsidP="003750ED">
      <w:pPr>
        <w:pStyle w:val="Heading1"/>
      </w:pPr>
      <w:bookmarkStart w:id="6" w:name="O_941335"/>
      <w:bookmarkEnd w:id="6"/>
      <w:r w:rsidRPr="003750ED">
        <w:t>Foundation Skills</w:t>
      </w:r>
    </w:p>
    <w:p w:rsidR="00000000" w:rsidRPr="003750ED" w:rsidP="002C566A">
      <w:pPr>
        <w:pStyle w:val="BodyText"/>
      </w:pPr>
      <w:r w:rsidRPr="003750ED">
        <w:t>This section describes those required skills (reading, writing, oral communication and numerac</w:t>
      </w:r>
      <w:r w:rsidRPr="003750ED">
        <w:t xml:space="preserve">y) that are essential to workplace performance in this unit of competency.  </w:t>
      </w:r>
    </w:p>
    <w:p w:rsidR="00000000" w:rsidRPr="003750ED" w:rsidP="002C566A">
      <w:pPr>
        <w:pStyle w:val="BodyText"/>
      </w:pPr>
      <w:r w:rsidRPr="003750ED">
        <w:t>Foundation skills essential to performance are explicit in the performance criteria of this unit of competency.</w:t>
      </w:r>
    </w:p>
    <w:p w:rsidR="00000000" w:rsidRPr="003750ED" w:rsidP="003750ED">
      <w:pPr>
        <w:pStyle w:val="Heading1"/>
      </w:pPr>
      <w:bookmarkStart w:id="7" w:name="O_941334"/>
      <w:bookmarkEnd w:id="7"/>
      <w:r w:rsidRPr="003750ED">
        <w:t>Range of Conditions</w:t>
      </w:r>
    </w:p>
    <w:tbl>
      <w:tblPr>
        <w:tblW w:w="0" w:type="auto"/>
        <w:tblLayout w:type="fixed"/>
        <w:tblCellMar>
          <w:left w:w="62" w:type="dxa"/>
          <w:right w:w="62" w:type="dxa"/>
        </w:tblCellMar>
        <w:tblLook w:val="0000"/>
      </w:tblPr>
      <w:tblGrid>
        <w:gridCol w:w="2641"/>
        <w:gridCol w:w="6501"/>
      </w:tblGrid>
      <w:tr w:rsidTr="003750ED">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t>This field allows for different work environments and conditions that may affect performance. Essential operating conditions that may be present (depending on the work situation, needs of the candidate, accessibility of the item, and local industry and reg</w:t>
            </w:r>
            <w:r w:rsidRPr="003750ED">
              <w:t>ional contexts) are included.</w:t>
            </w:r>
          </w:p>
        </w:tc>
      </w:tr>
      <w:tr w:rsidTr="003750ED">
        <w:tblPrEx>
          <w:tblW w:w="0" w:type="auto"/>
          <w:tblLayout w:type="fixed"/>
          <w:tblCellMar>
            <w:left w:w="62" w:type="dxa"/>
            <w:right w:w="62" w:type="dxa"/>
          </w:tblCellMar>
          <w:tblLook w:val="0000"/>
        </w:tblPrEx>
        <w:trPr>
          <w:trHeight w:val="3039"/>
        </w:trPr>
        <w:tc>
          <w:tcPr>
            <w:tcW w:w="2641"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rPr>
                <w:rStyle w:val="SpecialBold"/>
              </w:rPr>
              <w:t>Electronic systems and equipment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3750ED" w:rsidP="003750ED">
            <w:pPr>
              <w:pStyle w:val="ListBullet"/>
            </w:pPr>
            <w:r w:rsidRPr="003750ED">
              <w:t>amplifiers</w:t>
            </w:r>
          </w:p>
          <w:p w:rsidR="00000000" w:rsidRPr="003750ED" w:rsidP="003750ED">
            <w:pPr>
              <w:pStyle w:val="ListBullet"/>
            </w:pPr>
            <w:r w:rsidRPr="003750ED">
              <w:t>analog hardware</w:t>
            </w:r>
          </w:p>
          <w:p w:rsidR="00000000" w:rsidRPr="003750ED" w:rsidP="003750ED">
            <w:pPr>
              <w:pStyle w:val="ListBullet"/>
            </w:pPr>
            <w:r w:rsidRPr="003750ED">
              <w:t>communication</w:t>
            </w:r>
          </w:p>
          <w:p w:rsidR="00000000" w:rsidRPr="003750ED" w:rsidP="003750ED">
            <w:pPr>
              <w:pStyle w:val="ListBullet"/>
            </w:pPr>
            <w:r w:rsidRPr="003750ED">
              <w:t>consumer audio/video</w:t>
            </w:r>
          </w:p>
          <w:p w:rsidR="00000000" w:rsidRPr="003750ED" w:rsidP="003750ED">
            <w:pPr>
              <w:pStyle w:val="ListBullet"/>
            </w:pPr>
            <w:r w:rsidRPr="003750ED">
              <w:t>electronic appliances</w:t>
            </w:r>
          </w:p>
          <w:p w:rsidR="00000000" w:rsidRPr="003750ED" w:rsidP="003750ED">
            <w:pPr>
              <w:pStyle w:val="ListBullet"/>
            </w:pPr>
            <w:r w:rsidRPr="003750ED">
              <w:t>scanning systems</w:t>
            </w:r>
          </w:p>
          <w:p w:rsidR="00000000" w:rsidRPr="003750ED" w:rsidP="003750ED">
            <w:pPr>
              <w:pStyle w:val="ListBullet"/>
            </w:pPr>
            <w:r w:rsidRPr="003750ED">
              <w:t>security/fire systems</w:t>
            </w:r>
          </w:p>
          <w:p w:rsidR="00000000" w:rsidRPr="003750ED" w:rsidP="003750ED">
            <w:pPr>
              <w:pStyle w:val="ListBullet"/>
            </w:pPr>
            <w:r w:rsidRPr="003750ED">
              <w:t xml:space="preserve">power supplies </w:t>
            </w:r>
          </w:p>
          <w:p w:rsidR="00000000" w:rsidP="003750ED">
            <w:pPr>
              <w:pStyle w:val="ListBullet"/>
              <w:rPr>
                <w:lang w:val="en-NZ"/>
              </w:rPr>
            </w:pPr>
            <w:r w:rsidRPr="003750ED">
              <w:t>test equipment</w:t>
            </w:r>
          </w:p>
        </w:tc>
      </w:tr>
      <w:tr w:rsidTr="003750ED">
        <w:tblPrEx>
          <w:tblW w:w="0" w:type="auto"/>
          <w:tblLayout w:type="fixed"/>
          <w:tblCellMar>
            <w:left w:w="62" w:type="dxa"/>
            <w:right w:w="62" w:type="dxa"/>
          </w:tblCellMar>
          <w:tblLook w:val="0000"/>
        </w:tblPrEx>
        <w:trPr>
          <w:trHeight w:val="3082"/>
        </w:trPr>
        <w:tc>
          <w:tcPr>
            <w:tcW w:w="2641"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rPr>
                <w:rStyle w:val="SpecialBold"/>
              </w:rPr>
              <w:t>Fault-finding techniques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3750ED" w:rsidP="003750ED">
            <w:pPr>
              <w:pStyle w:val="ListBullet"/>
            </w:pPr>
            <w:r w:rsidRPr="003750ED">
              <w:t>signal injection</w:t>
            </w:r>
          </w:p>
          <w:p w:rsidR="00000000" w:rsidRPr="003750ED" w:rsidP="003750ED">
            <w:pPr>
              <w:pStyle w:val="ListBullet"/>
            </w:pPr>
            <w:r w:rsidRPr="003750ED">
              <w:t>substitution</w:t>
            </w:r>
          </w:p>
          <w:p w:rsidR="00000000" w:rsidRPr="003750ED" w:rsidP="003750ED">
            <w:pPr>
              <w:pStyle w:val="ListBullet"/>
            </w:pPr>
            <w:r w:rsidRPr="003750ED">
              <w:t>monitoring</w:t>
            </w:r>
          </w:p>
          <w:p w:rsidR="00000000" w:rsidRPr="003750ED" w:rsidP="003750ED">
            <w:pPr>
              <w:pStyle w:val="ListBullet"/>
            </w:pPr>
            <w:r w:rsidRPr="003750ED">
              <w:t>measurement</w:t>
            </w:r>
          </w:p>
          <w:p w:rsidR="00000000" w:rsidRPr="003750ED" w:rsidP="003750ED">
            <w:pPr>
              <w:pStyle w:val="ListBullet"/>
            </w:pPr>
            <w:r w:rsidRPr="003750ED">
              <w:t>heating</w:t>
            </w:r>
          </w:p>
          <w:p w:rsidR="00000000" w:rsidRPr="003750ED" w:rsidP="003750ED">
            <w:pPr>
              <w:pStyle w:val="ListBullet"/>
            </w:pPr>
            <w:r w:rsidRPr="003750ED">
              <w:t>sound</w:t>
            </w:r>
          </w:p>
          <w:p w:rsidR="00000000" w:rsidRPr="003750ED" w:rsidP="003750ED">
            <w:pPr>
              <w:pStyle w:val="ListBullet"/>
            </w:pPr>
            <w:r w:rsidRPr="003750ED">
              <w:t>visual</w:t>
            </w:r>
          </w:p>
          <w:p w:rsidR="00000000" w:rsidRPr="003750ED" w:rsidP="003750ED">
            <w:pPr>
              <w:pStyle w:val="ListBullet"/>
            </w:pPr>
            <w:r w:rsidRPr="003750ED">
              <w:t>touch</w:t>
            </w:r>
          </w:p>
          <w:p w:rsidR="00000000" w:rsidP="003750ED">
            <w:pPr>
              <w:pStyle w:val="ListBullet"/>
              <w:rPr>
                <w:lang w:val="en-NZ"/>
              </w:rPr>
            </w:pPr>
            <w:r w:rsidRPr="003750ED">
              <w:t>smell</w:t>
            </w:r>
          </w:p>
        </w:tc>
      </w:tr>
      <w:tr w:rsidTr="003750ED">
        <w:tblPrEx>
          <w:tblW w:w="0" w:type="auto"/>
          <w:tblLayout w:type="fixed"/>
          <w:tblCellMar>
            <w:left w:w="62" w:type="dxa"/>
            <w:right w:w="62" w:type="dxa"/>
          </w:tblCellMar>
          <w:tblLook w:val="0000"/>
        </w:tblPrEx>
        <w:trPr>
          <w:trHeight w:val="2462"/>
        </w:trPr>
        <w:tc>
          <w:tcPr>
            <w:tcW w:w="2641"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rPr>
                <w:rStyle w:val="SpecialBold"/>
              </w:rPr>
              <w:t>Test equipment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3750ED" w:rsidP="003750ED">
            <w:pPr>
              <w:pStyle w:val="ListBullet"/>
            </w:pPr>
            <w:r w:rsidRPr="003750ED">
              <w:t>continuity testers</w:t>
            </w:r>
          </w:p>
          <w:p w:rsidR="00000000" w:rsidRPr="003750ED" w:rsidP="003750ED">
            <w:pPr>
              <w:pStyle w:val="ListBullet"/>
            </w:pPr>
            <w:r w:rsidRPr="003750ED">
              <w:t>ammeters</w:t>
            </w:r>
          </w:p>
          <w:p w:rsidR="00000000" w:rsidRPr="003750ED" w:rsidP="003750ED">
            <w:pPr>
              <w:pStyle w:val="ListBullet"/>
            </w:pPr>
            <w:r w:rsidRPr="003750ED">
              <w:t>voltmeters</w:t>
            </w:r>
          </w:p>
          <w:p w:rsidR="00000000" w:rsidRPr="003750ED" w:rsidP="003750ED">
            <w:pPr>
              <w:pStyle w:val="ListBullet"/>
            </w:pPr>
            <w:r w:rsidRPr="003750ED">
              <w:t>cathode ray oscilloscopes</w:t>
            </w:r>
          </w:p>
          <w:p w:rsidR="00000000" w:rsidRPr="003750ED" w:rsidP="003750ED">
            <w:pPr>
              <w:pStyle w:val="ListBullet"/>
            </w:pPr>
            <w:r w:rsidRPr="003750ED">
              <w:t>frequency counters</w:t>
            </w:r>
          </w:p>
          <w:p w:rsidR="00000000" w:rsidRPr="003750ED" w:rsidP="003750ED">
            <w:pPr>
              <w:pStyle w:val="ListBullet"/>
            </w:pPr>
            <w:r w:rsidRPr="003750ED">
              <w:t>signal generators</w:t>
            </w:r>
          </w:p>
          <w:p w:rsidR="00000000" w:rsidP="003750ED">
            <w:pPr>
              <w:pStyle w:val="ListBullet"/>
              <w:rPr>
                <w:lang w:val="en-NZ"/>
              </w:rPr>
            </w:pPr>
            <w:r w:rsidRPr="003750ED">
              <w:t>digital probes</w:t>
            </w:r>
          </w:p>
        </w:tc>
      </w:tr>
      <w:tr w:rsidTr="003750ED">
        <w:tblPrEx>
          <w:tblW w:w="0" w:type="auto"/>
          <w:tblLayout w:type="fixed"/>
          <w:tblCellMar>
            <w:left w:w="62" w:type="dxa"/>
            <w:right w:w="62" w:type="dxa"/>
          </w:tblCellMar>
          <w:tblLook w:val="0000"/>
        </w:tblPrEx>
        <w:trPr>
          <w:trHeight w:val="2462"/>
        </w:trPr>
        <w:tc>
          <w:tcPr>
            <w:tcW w:w="2641" w:type="dxa"/>
            <w:tcBorders>
              <w:top w:val="nil"/>
              <w:left w:val="nil"/>
              <w:bottom w:val="nil"/>
              <w:right w:val="nil"/>
            </w:tcBorders>
            <w:tcMar>
              <w:top w:w="0" w:type="dxa"/>
              <w:left w:w="62" w:type="dxa"/>
              <w:bottom w:w="0" w:type="dxa"/>
              <w:right w:w="62" w:type="dxa"/>
            </w:tcMar>
          </w:tcPr>
          <w:p w:rsidR="00000000" w:rsidP="003750ED">
            <w:pPr>
              <w:pStyle w:val="BodyText"/>
              <w:rPr>
                <w:lang w:val="en-NZ"/>
              </w:rPr>
            </w:pPr>
            <w:r w:rsidRPr="003750ED">
              <w:rPr>
                <w:rStyle w:val="SpecialBold"/>
              </w:rPr>
              <w:t>Components include (1) one or more of the following:</w:t>
            </w:r>
          </w:p>
        </w:tc>
        <w:tc>
          <w:tcPr>
            <w:tcW w:w="6501" w:type="dxa"/>
            <w:tcBorders>
              <w:top w:val="nil"/>
              <w:left w:val="nil"/>
              <w:bottom w:val="nil"/>
              <w:right w:val="nil"/>
            </w:tcBorders>
            <w:tcMar>
              <w:top w:w="0" w:type="dxa"/>
              <w:left w:w="62" w:type="dxa"/>
              <w:bottom w:w="0" w:type="dxa"/>
              <w:right w:w="62" w:type="dxa"/>
            </w:tcMar>
          </w:tcPr>
          <w:p w:rsidR="00000000" w:rsidRPr="003750ED" w:rsidP="003750ED">
            <w:pPr>
              <w:pStyle w:val="ListBullet"/>
            </w:pPr>
            <w:r w:rsidRPr="003750ED">
              <w:t>discrete component assemblies</w:t>
            </w:r>
          </w:p>
          <w:p w:rsidR="00000000" w:rsidRPr="003750ED" w:rsidP="003750ED">
            <w:pPr>
              <w:pStyle w:val="ListBullet"/>
            </w:pPr>
            <w:r w:rsidRPr="003750ED">
              <w:t>individual components, including:</w:t>
            </w:r>
          </w:p>
          <w:p w:rsidR="00000000" w:rsidRPr="003750ED" w:rsidP="003750ED">
            <w:pPr>
              <w:pStyle w:val="ListBullet2"/>
            </w:pPr>
            <w:r w:rsidRPr="003750ED">
              <w:t>resistors</w:t>
            </w:r>
          </w:p>
          <w:p w:rsidR="00000000" w:rsidRPr="003750ED" w:rsidP="003750ED">
            <w:pPr>
              <w:pStyle w:val="ListBullet2"/>
            </w:pPr>
            <w:r w:rsidRPr="003750ED">
              <w:t>switching devices</w:t>
            </w:r>
          </w:p>
          <w:p w:rsidR="00000000" w:rsidRPr="003750ED" w:rsidP="003750ED">
            <w:pPr>
              <w:pStyle w:val="ListBullet2"/>
            </w:pPr>
            <w:r w:rsidRPr="003750ED">
              <w:t>capacitors</w:t>
            </w:r>
          </w:p>
          <w:p w:rsidR="00000000" w:rsidRPr="003750ED" w:rsidP="003750ED">
            <w:pPr>
              <w:pStyle w:val="ListBullet2"/>
            </w:pPr>
            <w:r w:rsidRPr="003750ED">
              <w:t>transformers</w:t>
            </w:r>
          </w:p>
          <w:p w:rsidR="00000000" w:rsidRPr="003750ED" w:rsidP="003750ED">
            <w:pPr>
              <w:pStyle w:val="ListBullet2"/>
            </w:pPr>
            <w:r w:rsidRPr="003750ED">
              <w:t>solenoids</w:t>
            </w:r>
          </w:p>
          <w:p w:rsidR="00000000" w:rsidRPr="003750ED" w:rsidP="003750ED">
            <w:pPr>
              <w:pStyle w:val="ListBullet2"/>
            </w:pPr>
            <w:r w:rsidRPr="003750ED">
              <w:t>tubes</w:t>
            </w:r>
          </w:p>
          <w:p w:rsidR="00000000" w:rsidRPr="003750ED" w:rsidP="003750ED">
            <w:pPr>
              <w:pStyle w:val="ListBullet2"/>
            </w:pPr>
            <w:r w:rsidRPr="003750ED">
              <w:t>semi-conductors</w:t>
            </w:r>
          </w:p>
        </w:tc>
      </w:tr>
    </w:tbl>
    <w:p w:rsidR="00000000" w:rsidRPr="003750ED" w:rsidP="003750ED">
      <w:pPr>
        <w:pStyle w:val="BodyText"/>
      </w:pPr>
    </w:p>
    <w:p w:rsidR="00000000" w:rsidRPr="003750ED" w:rsidP="003750ED">
      <w:pPr>
        <w:pStyle w:val="AllowPageBreak"/>
      </w:pPr>
    </w:p>
    <w:p w:rsidR="00000000" w:rsidRPr="003750ED" w:rsidP="003750ED">
      <w:pPr>
        <w:pStyle w:val="Heading1"/>
      </w:pPr>
      <w:bookmarkStart w:id="8" w:name="O_941333"/>
      <w:bookmarkEnd w:id="8"/>
      <w:r w:rsidRPr="003750ED">
        <w:t>Unit Mapping Information</w:t>
      </w:r>
    </w:p>
    <w:p w:rsidR="00000000" w:rsidRPr="003750ED" w:rsidP="002C566A">
      <w:pPr>
        <w:pStyle w:val="BodyText"/>
      </w:pPr>
      <w:r w:rsidRPr="003750ED">
        <w:t xml:space="preserve">Release 1. Supersedes and is equivalent to MEM18056B Diagnose and repair analog equipment and components </w:t>
      </w:r>
    </w:p>
    <w:p w:rsidR="00000000" w:rsidRPr="003750ED" w:rsidP="003750ED">
      <w:pPr>
        <w:pStyle w:val="Heading1"/>
      </w:pPr>
      <w:bookmarkStart w:id="9" w:name="O_941326"/>
      <w:bookmarkEnd w:id="9"/>
      <w:r w:rsidRPr="003750ED">
        <w:t>Links</w:t>
      </w:r>
    </w:p>
    <w:p w:rsidR="00000000" w:rsidRPr="003750ED" w:rsidP="002C566A">
      <w:pPr>
        <w:pStyle w:val="BodyText"/>
      </w:pPr>
      <w:r w:rsidRPr="003750E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544F4">
        <w:rPr>
          <w:rStyle w:val="Hyperlink"/>
        </w:rPr>
        <w:t>https://vetnet.gov.au/Pages/TrainingDocs.aspx?q=b7050d37-5fd0-4740-8f7d-3b7a49c10bb2</w:t>
      </w:r>
      <w:r>
        <w:fldChar w:fldCharType="end"/>
      </w:r>
    </w:p>
    <w:p w:rsidR="00000000" w:rsidRPr="003750ED" w:rsidP="003750ED"/>
    <w:sectPr w:rsidSect="003750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ED" w:rsidRPr="002C566A" w:rsidP="002C56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66A" w:rsidP="003750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566A" w:rsidP="003750E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C566A" w:rsidP="003750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6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50ED" w:rsidRPr="002C566A" w:rsidP="002C56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66A" w:rsidRPr="002D2AF8" w:rsidP="003750ED">
    <w:pPr>
      <w:pStyle w:val="Header"/>
      <w:framePr w:wrap="around"/>
    </w:pPr>
    <w:r>
      <w:fldChar w:fldCharType="begin"/>
    </w:r>
    <w:r>
      <w:instrText xml:space="preserve"> TITLE   \* MERGEFORMAT </w:instrText>
    </w:r>
    <w:r>
      <w:fldChar w:fldCharType="separate"/>
    </w:r>
    <w:r>
      <w:t>MEM18056 Diagnose and repair analog equipment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C566A" w:rsidP="003750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D2BE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BC10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08F1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0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0ED"/>
    <w:pPr>
      <w:spacing w:before="360" w:after="60"/>
      <w:outlineLvl w:val="0"/>
    </w:pPr>
    <w:rPr>
      <w:sz w:val="32"/>
    </w:rPr>
  </w:style>
  <w:style w:type="paragraph" w:styleId="Heading2">
    <w:name w:val="heading 2"/>
    <w:basedOn w:val="HeadingBase"/>
    <w:next w:val="BodyText"/>
    <w:link w:val="Heading2Char"/>
    <w:qFormat/>
    <w:rsid w:val="003750ED"/>
    <w:pPr>
      <w:keepLines/>
      <w:spacing w:before="240" w:after="120"/>
      <w:outlineLvl w:val="1"/>
    </w:pPr>
    <w:rPr>
      <w:sz w:val="28"/>
      <w:szCs w:val="40"/>
    </w:rPr>
  </w:style>
  <w:style w:type="paragraph" w:styleId="Heading3">
    <w:name w:val="heading 3"/>
    <w:basedOn w:val="HeadingBase"/>
    <w:next w:val="BodyText"/>
    <w:link w:val="Heading3Char"/>
    <w:qFormat/>
    <w:rsid w:val="003750ED"/>
    <w:pPr>
      <w:spacing w:before="180" w:after="120"/>
      <w:outlineLvl w:val="2"/>
    </w:pPr>
    <w:rPr>
      <w:spacing w:val="-10"/>
      <w:kern w:val="32"/>
    </w:rPr>
  </w:style>
  <w:style w:type="paragraph" w:styleId="Heading4">
    <w:name w:val="heading 4"/>
    <w:basedOn w:val="HeadingBase"/>
    <w:next w:val="BodyText"/>
    <w:link w:val="Heading4Char"/>
    <w:qFormat/>
    <w:rsid w:val="003750ED"/>
    <w:pPr>
      <w:spacing w:before="160" w:after="120"/>
      <w:outlineLvl w:val="3"/>
    </w:pPr>
    <w:rPr>
      <w:sz w:val="22"/>
    </w:rPr>
  </w:style>
  <w:style w:type="paragraph" w:styleId="Heading5">
    <w:name w:val="heading 5"/>
    <w:basedOn w:val="HeadingBase"/>
    <w:next w:val="Normal"/>
    <w:link w:val="Heading5Char"/>
    <w:qFormat/>
    <w:rsid w:val="003750ED"/>
    <w:pPr>
      <w:spacing w:before="80"/>
      <w:outlineLvl w:val="4"/>
    </w:pPr>
    <w:rPr>
      <w:color w:val="918585"/>
      <w:sz w:val="20"/>
    </w:rPr>
  </w:style>
  <w:style w:type="paragraph" w:styleId="Heading6">
    <w:name w:val="heading 6"/>
    <w:basedOn w:val="HeadingBase"/>
    <w:next w:val="Normal"/>
    <w:link w:val="Heading6Char"/>
    <w:qFormat/>
    <w:rsid w:val="003750ED"/>
    <w:pPr>
      <w:spacing w:before="60"/>
      <w:outlineLvl w:val="5"/>
    </w:pPr>
    <w:rPr>
      <w:color w:val="918585"/>
      <w:sz w:val="20"/>
    </w:rPr>
  </w:style>
  <w:style w:type="paragraph" w:styleId="Heading7">
    <w:name w:val="heading 7"/>
    <w:basedOn w:val="Normal"/>
    <w:next w:val="Normal"/>
    <w:link w:val="Heading7Char"/>
    <w:qFormat/>
    <w:rsid w:val="003750ED"/>
    <w:pPr>
      <w:ind w:left="720"/>
      <w:outlineLvl w:val="6"/>
    </w:pPr>
    <w:rPr>
      <w:i/>
    </w:rPr>
  </w:style>
  <w:style w:type="paragraph" w:styleId="Heading8">
    <w:name w:val="heading 8"/>
    <w:basedOn w:val="Normal"/>
    <w:next w:val="Normal"/>
    <w:link w:val="Heading8Char"/>
    <w:qFormat/>
    <w:rsid w:val="003750ED"/>
    <w:pPr>
      <w:ind w:left="720"/>
      <w:outlineLvl w:val="7"/>
    </w:pPr>
    <w:rPr>
      <w:i/>
    </w:rPr>
  </w:style>
  <w:style w:type="paragraph" w:styleId="Heading9">
    <w:name w:val="heading 9"/>
    <w:basedOn w:val="Normal"/>
    <w:next w:val="Normal"/>
    <w:link w:val="Heading9Char"/>
    <w:qFormat/>
    <w:rsid w:val="003750ED"/>
    <w:pPr>
      <w:ind w:left="720"/>
      <w:outlineLvl w:val="8"/>
    </w:pPr>
    <w:rPr>
      <w:i/>
    </w:rPr>
  </w:style>
  <w:style w:type="character" w:default="1" w:styleId="DefaultParagraphFont">
    <w:name w:val="Default Paragraph Font"/>
    <w:uiPriority w:val="1"/>
    <w:unhideWhenUsed/>
    <w:rsid w:val="003750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0ED"/>
  </w:style>
  <w:style w:type="character" w:customStyle="1" w:styleId="Heading1Char">
    <w:name w:val="Heading 1 Char"/>
    <w:basedOn w:val="DefaultParagraphFont"/>
    <w:link w:val="Heading1"/>
    <w:rsid w:val="003750ED"/>
    <w:rPr>
      <w:rFonts w:ascii="Times New Roman" w:eastAsia="Times New Roman" w:hAnsi="Times New Roman" w:cs="Times New Roman"/>
      <w:b/>
      <w:sz w:val="32"/>
      <w:szCs w:val="20"/>
      <w:lang w:eastAsia="en-US"/>
    </w:rPr>
  </w:style>
  <w:style w:type="paragraph" w:styleId="BodyText">
    <w:name w:val="Body Text"/>
    <w:basedOn w:val="Normal"/>
    <w:link w:val="BodyTextChar"/>
    <w:rsid w:val="003750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50ED"/>
    <w:rPr>
      <w:rFonts w:ascii="Times New Roman" w:eastAsia="Times New Roman" w:hAnsi="Times New Roman" w:cs="Times New Roman"/>
      <w:sz w:val="24"/>
      <w:lang w:eastAsia="en-US"/>
    </w:rPr>
  </w:style>
  <w:style w:type="paragraph" w:styleId="ListBullet">
    <w:name w:val="List Bullet"/>
    <w:basedOn w:val="List"/>
    <w:rsid w:val="003750ED"/>
    <w:pPr>
      <w:numPr>
        <w:numId w:val="12"/>
      </w:numPr>
      <w:tabs>
        <w:tab w:val="clear" w:pos="340"/>
      </w:tabs>
      <w:spacing w:before="40" w:after="40"/>
    </w:pPr>
  </w:style>
  <w:style w:type="character" w:customStyle="1" w:styleId="SpecialBold">
    <w:name w:val="Special Bold"/>
    <w:basedOn w:val="DefaultParagraphFont"/>
    <w:rsid w:val="003750ED"/>
    <w:rPr>
      <w:b/>
      <w:spacing w:val="0"/>
    </w:rPr>
  </w:style>
  <w:style w:type="paragraph" w:styleId="ListBullet2">
    <w:name w:val="List Bullet 2"/>
    <w:basedOn w:val="List2"/>
    <w:rsid w:val="003750ED"/>
    <w:pPr>
      <w:numPr>
        <w:numId w:val="13"/>
      </w:numPr>
      <w:tabs>
        <w:tab w:val="clear" w:pos="680"/>
      </w:tabs>
    </w:pPr>
  </w:style>
  <w:style w:type="paragraph" w:customStyle="1" w:styleId="SuperHeading">
    <w:name w:val="SuperHeading"/>
    <w:basedOn w:val="Normal"/>
    <w:rsid w:val="003750ED"/>
    <w:pPr>
      <w:spacing w:before="240" w:after="120"/>
      <w:outlineLvl w:val="0"/>
    </w:pPr>
    <w:rPr>
      <w:rFonts w:ascii="Times New Roman" w:hAnsi="Times New Roman"/>
      <w:b/>
      <w:sz w:val="32"/>
    </w:rPr>
  </w:style>
  <w:style w:type="paragraph" w:customStyle="1" w:styleId="AllowPageBreak">
    <w:name w:val="AllowPageBreak"/>
    <w:rsid w:val="003750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50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0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0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0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0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0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0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0ED"/>
    <w:rPr>
      <w:rFonts w:ascii="Courier New" w:eastAsia="Times New Roman" w:hAnsi="Courier New" w:cs="Times New Roman"/>
      <w:i/>
      <w:szCs w:val="20"/>
      <w:lang w:eastAsia="en-US"/>
    </w:rPr>
  </w:style>
  <w:style w:type="paragraph" w:customStyle="1" w:styleId="HeadingBase">
    <w:name w:val="Heading Base"/>
    <w:rsid w:val="003750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0ED"/>
    <w:pPr>
      <w:tabs>
        <w:tab w:val="right" w:leader="dot" w:pos="9072"/>
      </w:tabs>
      <w:ind w:left="567"/>
    </w:pPr>
    <w:rPr>
      <w:szCs w:val="22"/>
    </w:rPr>
  </w:style>
  <w:style w:type="paragraph" w:customStyle="1" w:styleId="TOCBase">
    <w:name w:val="TOC Base"/>
    <w:rsid w:val="003750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0ED"/>
    <w:pPr>
      <w:tabs>
        <w:tab w:val="right" w:leader="dot" w:pos="9072"/>
      </w:tabs>
      <w:spacing w:before="40" w:after="40"/>
      <w:ind w:left="284"/>
    </w:pPr>
    <w:rPr>
      <w:rFonts w:ascii="Times New Roman" w:hAnsi="Times New Roman"/>
    </w:rPr>
  </w:style>
  <w:style w:type="paragraph" w:styleId="TOC1">
    <w:name w:val="toc 1"/>
    <w:basedOn w:val="TOCBase"/>
    <w:next w:val="Normal"/>
    <w:rsid w:val="003750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0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0ED"/>
    <w:rPr>
      <w:rFonts w:ascii="Times New Roman" w:eastAsia="Times New Roman" w:hAnsi="Times New Roman" w:cs="Times New Roman"/>
      <w:sz w:val="16"/>
      <w:lang w:eastAsia="en-US"/>
    </w:rPr>
  </w:style>
  <w:style w:type="paragraph" w:styleId="Title">
    <w:name w:val="Title"/>
    <w:basedOn w:val="HeadingBase"/>
    <w:link w:val="TitleChar"/>
    <w:qFormat/>
    <w:rsid w:val="003750ED"/>
    <w:pPr>
      <w:spacing w:before="5040"/>
      <w:jc w:val="center"/>
    </w:pPr>
    <w:rPr>
      <w:sz w:val="48"/>
      <w:szCs w:val="72"/>
      <w:lang w:val="en-US"/>
    </w:rPr>
  </w:style>
  <w:style w:type="character" w:customStyle="1" w:styleId="TitleChar">
    <w:name w:val="Title Char"/>
    <w:basedOn w:val="DefaultParagraphFont"/>
    <w:link w:val="Title"/>
    <w:rsid w:val="003750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0ED"/>
    <w:pPr>
      <w:tabs>
        <w:tab w:val="left" w:pos="3600"/>
        <w:tab w:val="left" w:pos="3958"/>
      </w:tabs>
    </w:pPr>
  </w:style>
  <w:style w:type="paragraph" w:styleId="List">
    <w:name w:val="List"/>
    <w:basedOn w:val="BodyText"/>
    <w:next w:val="BodyText"/>
    <w:rsid w:val="003750ED"/>
    <w:pPr>
      <w:tabs>
        <w:tab w:val="left" w:pos="340"/>
      </w:tabs>
      <w:spacing w:before="60" w:after="60"/>
      <w:ind w:left="340" w:hanging="340"/>
    </w:pPr>
  </w:style>
  <w:style w:type="paragraph" w:customStyle="1" w:styleId="Note">
    <w:name w:val="Note"/>
    <w:basedOn w:val="BodyText"/>
    <w:rsid w:val="003750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50ED"/>
    <w:pPr>
      <w:framePr w:wrap="auto" w:hAnchor="text" w:y="6049"/>
    </w:pPr>
    <w:rPr>
      <w:color w:val="000000"/>
      <w:sz w:val="40"/>
    </w:rPr>
  </w:style>
  <w:style w:type="paragraph" w:customStyle="1" w:styleId="TOCTitle">
    <w:name w:val="TOCTitle"/>
    <w:basedOn w:val="Heading1"/>
    <w:rsid w:val="003750ED"/>
    <w:pPr>
      <w:spacing w:after="240"/>
      <w:jc w:val="center"/>
      <w:outlineLvl w:val="9"/>
    </w:pPr>
    <w:rPr>
      <w:caps/>
    </w:rPr>
  </w:style>
  <w:style w:type="paragraph" w:customStyle="1" w:styleId="Version">
    <w:name w:val="Version"/>
    <w:rsid w:val="003750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50ED"/>
    <w:pPr>
      <w:keepNext w:val="0"/>
      <w:tabs>
        <w:tab w:val="right" w:pos="4176"/>
      </w:tabs>
      <w:ind w:left="198" w:hanging="198"/>
    </w:pPr>
    <w:rPr>
      <w:rFonts w:ascii="Garamond" w:hAnsi="Garamond"/>
    </w:rPr>
  </w:style>
  <w:style w:type="paragraph" w:styleId="IndexHeading">
    <w:name w:val="index heading"/>
    <w:basedOn w:val="Normal"/>
    <w:next w:val="Index1"/>
    <w:semiHidden/>
    <w:rsid w:val="003750ED"/>
    <w:pPr>
      <w:spacing w:before="120" w:after="120"/>
    </w:pPr>
    <w:rPr>
      <w:rFonts w:ascii="Arial" w:hAnsi="Arial"/>
      <w:b/>
      <w:color w:val="918585"/>
      <w:sz w:val="24"/>
    </w:rPr>
  </w:style>
  <w:style w:type="paragraph" w:styleId="Header">
    <w:name w:val="header"/>
    <w:basedOn w:val="Normal"/>
    <w:link w:val="HeaderChar"/>
    <w:rsid w:val="003750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0ED"/>
    <w:rPr>
      <w:rFonts w:ascii="Times New Roman" w:eastAsia="Times New Roman" w:hAnsi="Times New Roman" w:cs="Times New Roman"/>
      <w:sz w:val="16"/>
      <w:szCs w:val="20"/>
      <w:lang w:val="en-GB" w:eastAsia="en-US"/>
    </w:rPr>
  </w:style>
  <w:style w:type="paragraph" w:customStyle="1" w:styleId="Chapter">
    <w:name w:val="Chapter"/>
    <w:basedOn w:val="Normal"/>
    <w:rsid w:val="003750ED"/>
    <w:pPr>
      <w:spacing w:before="240"/>
    </w:pPr>
    <w:rPr>
      <w:rFonts w:ascii="Times New Roman" w:hAnsi="Times New Roman"/>
      <w:smallCaps/>
      <w:spacing w:val="80"/>
      <w:sz w:val="28"/>
    </w:rPr>
  </w:style>
  <w:style w:type="paragraph" w:customStyle="1" w:styleId="InChapter">
    <w:name w:val="InChapter"/>
    <w:basedOn w:val="Heading3"/>
    <w:rsid w:val="003750ED"/>
    <w:pPr>
      <w:spacing w:after="240"/>
      <w:outlineLvl w:val="9"/>
    </w:pPr>
    <w:rPr>
      <w:noProof/>
    </w:rPr>
  </w:style>
  <w:style w:type="paragraph" w:styleId="Index2">
    <w:name w:val="index 2"/>
    <w:basedOn w:val="Normal"/>
    <w:next w:val="Normal"/>
    <w:semiHidden/>
    <w:rsid w:val="003750ED"/>
    <w:pPr>
      <w:tabs>
        <w:tab w:val="right" w:pos="4176"/>
      </w:tabs>
      <w:ind w:left="568" w:hanging="284"/>
    </w:pPr>
    <w:rPr>
      <w:rFonts w:ascii="Garamond" w:hAnsi="Garamond"/>
    </w:rPr>
  </w:style>
  <w:style w:type="paragraph" w:customStyle="1" w:styleId="Byline">
    <w:name w:val="Byline"/>
    <w:rsid w:val="003750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0ED"/>
    <w:pPr>
      <w:tabs>
        <w:tab w:val="clear" w:pos="3600"/>
        <w:tab w:val="clear" w:pos="3958"/>
      </w:tabs>
      <w:jc w:val="right"/>
    </w:pPr>
  </w:style>
  <w:style w:type="character" w:styleId="Emphasis">
    <w:name w:val="Emphasis"/>
    <w:basedOn w:val="DefaultParagraphFont"/>
    <w:qFormat/>
    <w:rsid w:val="003750ED"/>
    <w:rPr>
      <w:i/>
    </w:rPr>
  </w:style>
  <w:style w:type="paragraph" w:styleId="Caption">
    <w:name w:val="caption"/>
    <w:basedOn w:val="BodyText"/>
    <w:next w:val="Normal"/>
    <w:qFormat/>
    <w:rsid w:val="003750ED"/>
    <w:pPr>
      <w:framePr w:w="2268" w:hSpace="181" w:vSpace="181" w:wrap="around" w:vAnchor="text" w:hAnchor="page" w:x="1135" w:y="285" w:anchorLock="1"/>
    </w:pPr>
    <w:rPr>
      <w:i/>
    </w:rPr>
  </w:style>
  <w:style w:type="paragraph" w:customStyle="1" w:styleId="MiniTOCTitle">
    <w:name w:val="MiniTOCTitle"/>
    <w:basedOn w:val="Heading4"/>
    <w:rsid w:val="003750ED"/>
    <w:pPr>
      <w:spacing w:before="240"/>
      <w:outlineLvl w:val="9"/>
    </w:pPr>
    <w:rPr>
      <w:noProof/>
      <w:sz w:val="24"/>
    </w:rPr>
  </w:style>
  <w:style w:type="paragraph" w:customStyle="1" w:styleId="MiniTOCItem">
    <w:name w:val="MiniTOCItem"/>
    <w:basedOn w:val="ListBullet"/>
    <w:rsid w:val="003750ED"/>
    <w:pPr>
      <w:numPr>
        <w:numId w:val="0"/>
      </w:numPr>
      <w:tabs>
        <w:tab w:val="right" w:leader="dot" w:pos="6521"/>
      </w:tabs>
      <w:spacing w:before="0" w:after="0"/>
    </w:pPr>
  </w:style>
  <w:style w:type="paragraph" w:customStyle="1" w:styleId="TOFTitle">
    <w:name w:val="TOFTitle"/>
    <w:basedOn w:val="TOCTitle"/>
    <w:rsid w:val="003750ED"/>
  </w:style>
  <w:style w:type="paragraph" w:styleId="TableofFigures">
    <w:name w:val="table of figures"/>
    <w:basedOn w:val="Normal"/>
    <w:next w:val="Normal"/>
    <w:semiHidden/>
    <w:rsid w:val="003750ED"/>
    <w:pPr>
      <w:tabs>
        <w:tab w:val="right" w:leader="dot" w:pos="9072"/>
      </w:tabs>
      <w:ind w:left="970" w:hanging="403"/>
    </w:pPr>
    <w:rPr>
      <w:rFonts w:ascii="Times New Roman" w:hAnsi="Times New Roman"/>
      <w:b/>
    </w:rPr>
  </w:style>
  <w:style w:type="paragraph" w:styleId="ListNumber">
    <w:name w:val="List Number"/>
    <w:basedOn w:val="List"/>
    <w:rsid w:val="003750ED"/>
    <w:pPr>
      <w:numPr>
        <w:numId w:val="15"/>
      </w:numPr>
      <w:tabs>
        <w:tab w:val="clear" w:pos="340"/>
      </w:tabs>
    </w:pPr>
  </w:style>
  <w:style w:type="character" w:customStyle="1" w:styleId="WingdingSymbols">
    <w:name w:val="Wingding Symbols"/>
    <w:rsid w:val="003750ED"/>
    <w:rPr>
      <w:rFonts w:ascii="Wingdings" w:hAnsi="Wingdings"/>
    </w:rPr>
  </w:style>
  <w:style w:type="paragraph" w:customStyle="1" w:styleId="TableHeading">
    <w:name w:val="Table Heading"/>
    <w:basedOn w:val="HeadingBase"/>
    <w:rsid w:val="003750ED"/>
    <w:pPr>
      <w:keepLines/>
      <w:pBdr>
        <w:bottom w:val="single" w:sz="6" w:space="1" w:color="918585"/>
      </w:pBdr>
      <w:spacing w:before="240"/>
    </w:pPr>
  </w:style>
  <w:style w:type="character" w:customStyle="1" w:styleId="HotSpot">
    <w:name w:val="HotSpot"/>
    <w:rsid w:val="003750ED"/>
    <w:rPr>
      <w:color w:val="0033CC"/>
      <w:u w:val="none"/>
    </w:rPr>
  </w:style>
  <w:style w:type="paragraph" w:customStyle="1" w:styleId="BodyTextRight">
    <w:name w:val="Body Text Right"/>
    <w:basedOn w:val="BodyText"/>
    <w:rsid w:val="003750ED"/>
    <w:pPr>
      <w:spacing w:before="0" w:after="0"/>
      <w:jc w:val="right"/>
    </w:pPr>
  </w:style>
  <w:style w:type="paragraph" w:styleId="Index3">
    <w:name w:val="index 3"/>
    <w:basedOn w:val="ListNumber2"/>
    <w:next w:val="Normal"/>
    <w:semiHidden/>
    <w:rsid w:val="003750ED"/>
    <w:pPr>
      <w:numPr>
        <w:numId w:val="0"/>
      </w:numPr>
      <w:tabs>
        <w:tab w:val="right" w:leader="dot" w:pos="4176"/>
      </w:tabs>
    </w:pPr>
  </w:style>
  <w:style w:type="paragraph" w:styleId="ListNumber2">
    <w:name w:val="List Number 2"/>
    <w:basedOn w:val="List2"/>
    <w:rsid w:val="003750ED"/>
    <w:pPr>
      <w:numPr>
        <w:numId w:val="10"/>
      </w:numPr>
      <w:tabs>
        <w:tab w:val="clear" w:pos="1060"/>
      </w:tabs>
    </w:pPr>
  </w:style>
  <w:style w:type="paragraph" w:customStyle="1" w:styleId="MarginNote">
    <w:name w:val="Margin Note"/>
    <w:basedOn w:val="BodyText"/>
    <w:rsid w:val="003750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0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0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0ED"/>
    <w:rPr>
      <w:sz w:val="32"/>
    </w:rPr>
  </w:style>
  <w:style w:type="paragraph" w:customStyle="1" w:styleId="HeadingProcedure">
    <w:name w:val="Heading Procedure"/>
    <w:basedOn w:val="HeadingBase"/>
    <w:next w:val="Normal"/>
    <w:rsid w:val="003750ED"/>
    <w:pPr>
      <w:tabs>
        <w:tab w:val="left" w:pos="0"/>
      </w:tabs>
      <w:spacing w:before="120" w:after="60"/>
    </w:pPr>
    <w:rPr>
      <w:i/>
      <w:color w:val="918585"/>
      <w:sz w:val="22"/>
    </w:rPr>
  </w:style>
  <w:style w:type="paragraph" w:customStyle="1" w:styleId="TableBodyText">
    <w:name w:val="Table Body Text"/>
    <w:basedOn w:val="BodyText"/>
    <w:rsid w:val="003750ED"/>
    <w:pPr>
      <w:spacing w:before="60" w:after="60"/>
    </w:pPr>
  </w:style>
  <w:style w:type="paragraph" w:styleId="ListContinue">
    <w:name w:val="List Continue"/>
    <w:basedOn w:val="List"/>
    <w:rsid w:val="003750ED"/>
    <w:pPr>
      <w:ind w:firstLine="0"/>
    </w:pPr>
  </w:style>
  <w:style w:type="paragraph" w:customStyle="1" w:styleId="ListNote">
    <w:name w:val="List Note"/>
    <w:basedOn w:val="List"/>
    <w:rsid w:val="003750ED"/>
    <w:pPr>
      <w:pBdr>
        <w:top w:val="single" w:sz="6" w:space="2" w:color="918585"/>
        <w:bottom w:val="single" w:sz="6" w:space="2" w:color="918585"/>
      </w:pBdr>
      <w:tabs>
        <w:tab w:val="left" w:pos="1021"/>
      </w:tabs>
      <w:ind w:firstLine="0"/>
    </w:pPr>
  </w:style>
  <w:style w:type="paragraph" w:customStyle="1" w:styleId="Warning">
    <w:name w:val="Warning"/>
    <w:basedOn w:val="BodyText"/>
    <w:rsid w:val="003750ED"/>
    <w:pPr>
      <w:shd w:val="clear" w:color="auto" w:fill="D9D9D9"/>
      <w:tabs>
        <w:tab w:val="left" w:pos="992"/>
      </w:tabs>
      <w:ind w:left="119" w:right="119"/>
    </w:pPr>
    <w:rPr>
      <w:sz w:val="20"/>
    </w:rPr>
  </w:style>
  <w:style w:type="paragraph" w:customStyle="1" w:styleId="MarginIcons">
    <w:name w:val="Margin Icons"/>
    <w:basedOn w:val="BodyText"/>
    <w:rsid w:val="003750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0ED"/>
    <w:rPr>
      <w:rFonts w:ascii="Courier New" w:hAnsi="Courier New"/>
    </w:rPr>
  </w:style>
  <w:style w:type="paragraph" w:customStyle="1" w:styleId="NoteBullet">
    <w:name w:val="Note Bullet"/>
    <w:basedOn w:val="Note"/>
    <w:rsid w:val="003750ED"/>
    <w:pPr>
      <w:tabs>
        <w:tab w:val="clear" w:pos="680"/>
      </w:tabs>
      <w:spacing w:before="60" w:after="60"/>
    </w:pPr>
  </w:style>
  <w:style w:type="paragraph" w:customStyle="1" w:styleId="SubHeading2">
    <w:name w:val="SubHeading2"/>
    <w:basedOn w:val="HeadingBase"/>
    <w:rsid w:val="003750ED"/>
    <w:pPr>
      <w:spacing w:before="240" w:after="60"/>
    </w:pPr>
    <w:rPr>
      <w:sz w:val="20"/>
    </w:rPr>
  </w:style>
  <w:style w:type="paragraph" w:customStyle="1" w:styleId="SubHeading1">
    <w:name w:val="SubHeading1"/>
    <w:basedOn w:val="HeadingBase"/>
    <w:rsid w:val="003750ED"/>
    <w:pPr>
      <w:spacing w:before="240" w:after="60"/>
    </w:pPr>
    <w:rPr>
      <w:color w:val="918585"/>
      <w:sz w:val="22"/>
    </w:rPr>
  </w:style>
  <w:style w:type="paragraph" w:customStyle="1" w:styleId="SideHeading">
    <w:name w:val="Side Heading"/>
    <w:basedOn w:val="HeadingBase"/>
    <w:rsid w:val="003750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0ED"/>
    <w:pPr>
      <w:tabs>
        <w:tab w:val="num" w:pos="360"/>
      </w:tabs>
    </w:pPr>
  </w:style>
  <w:style w:type="paragraph" w:styleId="PlainText">
    <w:name w:val="Plain Text"/>
    <w:basedOn w:val="Normal"/>
    <w:link w:val="PlainTextChar"/>
    <w:rsid w:val="003750ED"/>
    <w:rPr>
      <w:sz w:val="20"/>
    </w:rPr>
  </w:style>
  <w:style w:type="character" w:customStyle="1" w:styleId="PlainTextChar">
    <w:name w:val="Plain Text Char"/>
    <w:basedOn w:val="DefaultParagraphFont"/>
    <w:link w:val="PlainText"/>
    <w:rsid w:val="003750ED"/>
    <w:rPr>
      <w:rFonts w:ascii="Courier New" w:eastAsia="Times New Roman" w:hAnsi="Courier New" w:cs="Times New Roman"/>
      <w:sz w:val="20"/>
      <w:szCs w:val="20"/>
      <w:lang w:eastAsia="en-US"/>
    </w:rPr>
  </w:style>
  <w:style w:type="character" w:customStyle="1" w:styleId="MenuOption">
    <w:name w:val="Menu Option"/>
    <w:basedOn w:val="DefaultParagraphFont"/>
    <w:rsid w:val="003750ED"/>
    <w:rPr>
      <w:b/>
      <w:smallCaps/>
    </w:rPr>
  </w:style>
  <w:style w:type="paragraph" w:customStyle="1" w:styleId="TableListNumber">
    <w:name w:val="Table List Number"/>
    <w:basedOn w:val="ListNumber"/>
    <w:rsid w:val="003750ED"/>
    <w:pPr>
      <w:numPr>
        <w:numId w:val="0"/>
      </w:numPr>
    </w:pPr>
  </w:style>
  <w:style w:type="paragraph" w:styleId="TOC4">
    <w:name w:val="toc 4"/>
    <w:basedOn w:val="TOCBase"/>
    <w:next w:val="Normal"/>
    <w:semiHidden/>
    <w:rsid w:val="003750ED"/>
    <w:pPr>
      <w:tabs>
        <w:tab w:val="right" w:leader="dot" w:pos="9071"/>
      </w:tabs>
      <w:ind w:left="1701"/>
    </w:pPr>
  </w:style>
  <w:style w:type="paragraph" w:customStyle="1" w:styleId="ListAlpha">
    <w:name w:val="List Alpha"/>
    <w:basedOn w:val="List"/>
    <w:rsid w:val="003750ED"/>
    <w:pPr>
      <w:numPr>
        <w:numId w:val="9"/>
      </w:numPr>
    </w:pPr>
  </w:style>
  <w:style w:type="paragraph" w:customStyle="1" w:styleId="ListAlpha2">
    <w:name w:val="List Alpha 2"/>
    <w:basedOn w:val="List2"/>
    <w:rsid w:val="003750ED"/>
    <w:pPr>
      <w:numPr>
        <w:numId w:val="8"/>
      </w:numPr>
    </w:pPr>
  </w:style>
  <w:style w:type="paragraph" w:styleId="List2">
    <w:name w:val="List 2"/>
    <w:basedOn w:val="BodyText"/>
    <w:rsid w:val="003750ED"/>
    <w:pPr>
      <w:tabs>
        <w:tab w:val="left" w:pos="680"/>
      </w:tabs>
      <w:spacing w:before="60" w:after="60"/>
      <w:ind w:left="680" w:hanging="340"/>
    </w:pPr>
  </w:style>
  <w:style w:type="paragraph" w:styleId="List3">
    <w:name w:val="List 3"/>
    <w:basedOn w:val="BodyText"/>
    <w:rsid w:val="003750ED"/>
    <w:pPr>
      <w:tabs>
        <w:tab w:val="left" w:pos="1021"/>
      </w:tabs>
      <w:spacing w:before="60" w:after="60"/>
      <w:ind w:left="1020" w:hanging="340"/>
    </w:pPr>
  </w:style>
  <w:style w:type="paragraph" w:styleId="List4">
    <w:name w:val="List 4"/>
    <w:basedOn w:val="BodyText"/>
    <w:rsid w:val="003750ED"/>
    <w:pPr>
      <w:tabs>
        <w:tab w:val="left" w:pos="1361"/>
      </w:tabs>
      <w:spacing w:before="60" w:after="60"/>
      <w:ind w:left="1361" w:hanging="340"/>
    </w:pPr>
  </w:style>
  <w:style w:type="paragraph" w:styleId="List5">
    <w:name w:val="List 5"/>
    <w:basedOn w:val="BodyText"/>
    <w:rsid w:val="003750ED"/>
    <w:pPr>
      <w:tabs>
        <w:tab w:val="left" w:pos="1701"/>
      </w:tabs>
      <w:spacing w:before="60" w:after="60"/>
      <w:ind w:left="1701" w:hanging="340"/>
    </w:pPr>
  </w:style>
  <w:style w:type="paragraph" w:styleId="ListBullet3">
    <w:name w:val="List Bullet 3"/>
    <w:basedOn w:val="List3"/>
    <w:rsid w:val="003750ED"/>
    <w:pPr>
      <w:numPr>
        <w:numId w:val="14"/>
      </w:numPr>
      <w:tabs>
        <w:tab w:val="clear" w:pos="1021"/>
      </w:tabs>
      <w:ind w:left="1037" w:hanging="357"/>
    </w:pPr>
  </w:style>
  <w:style w:type="paragraph" w:styleId="ListBullet4">
    <w:name w:val="List Bullet 4"/>
    <w:basedOn w:val="List4"/>
    <w:rsid w:val="003750ED"/>
    <w:pPr>
      <w:numPr>
        <w:numId w:val="3"/>
      </w:numPr>
      <w:tabs>
        <w:tab w:val="clear" w:pos="1361"/>
      </w:tabs>
    </w:pPr>
  </w:style>
  <w:style w:type="paragraph" w:styleId="ListBullet5">
    <w:name w:val="List Bullet 5"/>
    <w:basedOn w:val="List5"/>
    <w:rsid w:val="003750ED"/>
    <w:pPr>
      <w:numPr>
        <w:numId w:val="4"/>
      </w:numPr>
    </w:pPr>
  </w:style>
  <w:style w:type="paragraph" w:styleId="ListContinue2">
    <w:name w:val="List Continue 2"/>
    <w:basedOn w:val="List2"/>
    <w:rsid w:val="003750ED"/>
    <w:pPr>
      <w:ind w:firstLine="0"/>
    </w:pPr>
  </w:style>
  <w:style w:type="paragraph" w:styleId="ListContinue3">
    <w:name w:val="List Continue 3"/>
    <w:basedOn w:val="List3"/>
    <w:rsid w:val="003750ED"/>
    <w:pPr>
      <w:ind w:left="1021" w:firstLine="0"/>
    </w:pPr>
  </w:style>
  <w:style w:type="paragraph" w:styleId="ListContinue4">
    <w:name w:val="List Continue 4"/>
    <w:basedOn w:val="List4"/>
    <w:rsid w:val="003750ED"/>
    <w:pPr>
      <w:ind w:firstLine="0"/>
    </w:pPr>
  </w:style>
  <w:style w:type="paragraph" w:styleId="ListContinue5">
    <w:name w:val="List Continue 5"/>
    <w:basedOn w:val="List5"/>
    <w:rsid w:val="003750ED"/>
    <w:pPr>
      <w:ind w:firstLine="0"/>
    </w:pPr>
  </w:style>
  <w:style w:type="paragraph" w:styleId="ListNumber3">
    <w:name w:val="List Number 3"/>
    <w:basedOn w:val="List3"/>
    <w:rsid w:val="003750ED"/>
    <w:pPr>
      <w:numPr>
        <w:numId w:val="5"/>
      </w:numPr>
    </w:pPr>
  </w:style>
  <w:style w:type="paragraph" w:styleId="ListNumber4">
    <w:name w:val="List Number 4"/>
    <w:basedOn w:val="List4"/>
    <w:rsid w:val="003750ED"/>
    <w:pPr>
      <w:numPr>
        <w:numId w:val="6"/>
      </w:numPr>
    </w:pPr>
  </w:style>
  <w:style w:type="paragraph" w:styleId="ListNumber5">
    <w:name w:val="List Number 5"/>
    <w:basedOn w:val="List5"/>
    <w:rsid w:val="003750ED"/>
    <w:pPr>
      <w:numPr>
        <w:numId w:val="7"/>
      </w:numPr>
    </w:pPr>
  </w:style>
  <w:style w:type="paragraph" w:styleId="BlockText">
    <w:name w:val="Block Text"/>
    <w:basedOn w:val="Normal"/>
    <w:rsid w:val="003750ED"/>
    <w:pPr>
      <w:spacing w:after="120"/>
      <w:ind w:left="1440" w:right="1440"/>
    </w:pPr>
  </w:style>
  <w:style w:type="character" w:customStyle="1" w:styleId="Subscript">
    <w:name w:val="Subscript"/>
    <w:basedOn w:val="DefaultParagraphFont"/>
    <w:rsid w:val="003750ED"/>
    <w:rPr>
      <w:sz w:val="16"/>
      <w:vertAlign w:val="subscript"/>
    </w:rPr>
  </w:style>
  <w:style w:type="character" w:customStyle="1" w:styleId="Superscript">
    <w:name w:val="Superscript"/>
    <w:basedOn w:val="DefaultParagraphFont"/>
    <w:rsid w:val="003750ED"/>
    <w:rPr>
      <w:sz w:val="16"/>
      <w:vertAlign w:val="superscript"/>
    </w:rPr>
  </w:style>
  <w:style w:type="character" w:customStyle="1" w:styleId="Symbols">
    <w:name w:val="Symbols"/>
    <w:basedOn w:val="DefaultParagraphFont"/>
    <w:rsid w:val="003750ED"/>
    <w:rPr>
      <w:rFonts w:ascii="Symbol" w:hAnsi="Symbol"/>
    </w:rPr>
  </w:style>
  <w:style w:type="character" w:customStyle="1" w:styleId="MenuOptions">
    <w:name w:val="Menu Options"/>
    <w:basedOn w:val="DefaultParagraphFont"/>
    <w:rsid w:val="003750ED"/>
    <w:rPr>
      <w:rFonts w:ascii="Arial Narrow" w:hAnsi="Arial Narrow"/>
      <w:smallCaps/>
    </w:rPr>
  </w:style>
  <w:style w:type="character" w:customStyle="1" w:styleId="Buttons">
    <w:name w:val="Buttons"/>
    <w:basedOn w:val="DefaultParagraphFont"/>
    <w:rsid w:val="003750ED"/>
    <w:rPr>
      <w:b/>
    </w:rPr>
  </w:style>
  <w:style w:type="character" w:customStyle="1" w:styleId="Underlined">
    <w:name w:val="Underlined"/>
    <w:basedOn w:val="DefaultParagraphFont"/>
    <w:rsid w:val="003750ED"/>
    <w:rPr>
      <w:u w:val="single"/>
    </w:rPr>
  </w:style>
  <w:style w:type="paragraph" w:customStyle="1" w:styleId="TableBodyTextRight">
    <w:name w:val="Table Body Text Right"/>
    <w:basedOn w:val="TableBodyText"/>
    <w:rsid w:val="003750ED"/>
    <w:pPr>
      <w:widowControl w:val="0"/>
      <w:autoSpaceDE w:val="0"/>
      <w:autoSpaceDN w:val="0"/>
      <w:adjustRightInd w:val="0"/>
      <w:jc w:val="right"/>
    </w:pPr>
    <w:rPr>
      <w:rFonts w:cs="Arial"/>
      <w:szCs w:val="18"/>
    </w:rPr>
  </w:style>
  <w:style w:type="paragraph" w:customStyle="1" w:styleId="CopyrightText">
    <w:name w:val="Copyright Text"/>
    <w:basedOn w:val="BodyText"/>
    <w:rsid w:val="003750ED"/>
    <w:rPr>
      <w:sz w:val="18"/>
    </w:rPr>
  </w:style>
  <w:style w:type="paragraph" w:customStyle="1" w:styleId="BodySmallRight">
    <w:name w:val="Body Small Right"/>
    <w:basedOn w:val="BodyTextRight"/>
    <w:rsid w:val="003750ED"/>
    <w:rPr>
      <w:sz w:val="18"/>
      <w:szCs w:val="18"/>
    </w:rPr>
  </w:style>
  <w:style w:type="paragraph" w:customStyle="1" w:styleId="MarginEdition">
    <w:name w:val="Margin Edition"/>
    <w:basedOn w:val="MarginNote"/>
    <w:rsid w:val="003750ED"/>
    <w:pPr>
      <w:spacing w:before="0" w:after="0"/>
    </w:pPr>
    <w:rPr>
      <w:rFonts w:ascii="Times New Roman" w:hAnsi="Times New Roman"/>
      <w:color w:val="999999"/>
    </w:rPr>
  </w:style>
  <w:style w:type="paragraph" w:customStyle="1" w:styleId="Spacer">
    <w:name w:val="Spacer"/>
    <w:basedOn w:val="Normal"/>
    <w:rsid w:val="003750ED"/>
    <w:rPr>
      <w:sz w:val="2"/>
      <w:szCs w:val="2"/>
    </w:rPr>
  </w:style>
  <w:style w:type="character" w:customStyle="1" w:styleId="Small">
    <w:name w:val="Small"/>
    <w:basedOn w:val="DefaultParagraphFont"/>
    <w:rsid w:val="003750ED"/>
    <w:rPr>
      <w:sz w:val="16"/>
    </w:rPr>
  </w:style>
  <w:style w:type="paragraph" w:customStyle="1" w:styleId="WideTable">
    <w:name w:val="Wide Table"/>
    <w:basedOn w:val="Normal"/>
    <w:rsid w:val="003750ED"/>
    <w:pPr>
      <w:ind w:left="-1418"/>
    </w:pPr>
    <w:rPr>
      <w:sz w:val="2"/>
      <w:szCs w:val="2"/>
    </w:rPr>
  </w:style>
  <w:style w:type="character" w:styleId="PageNumber">
    <w:name w:val="page number"/>
    <w:basedOn w:val="DefaultParagraphFont"/>
    <w:rsid w:val="003750ED"/>
  </w:style>
  <w:style w:type="paragraph" w:styleId="Quote">
    <w:name w:val="Quote"/>
    <w:basedOn w:val="Heading1"/>
    <w:link w:val="QuoteChar"/>
    <w:qFormat/>
    <w:rsid w:val="003750ED"/>
    <w:rPr>
      <w:b w:val="0"/>
      <w:sz w:val="72"/>
      <w:szCs w:val="72"/>
      <w:lang w:val="en-NZ"/>
    </w:rPr>
  </w:style>
  <w:style w:type="character" w:customStyle="1" w:styleId="QuoteChar">
    <w:name w:val="Quote Char"/>
    <w:basedOn w:val="DefaultParagraphFont"/>
    <w:link w:val="Quote"/>
    <w:rsid w:val="003750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0ED"/>
    <w:pPr>
      <w:pageBreakBefore/>
    </w:pPr>
  </w:style>
  <w:style w:type="paragraph" w:customStyle="1" w:styleId="Border">
    <w:name w:val="Border"/>
    <w:basedOn w:val="Normal"/>
    <w:qFormat/>
    <w:rsid w:val="003750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0ED"/>
    <w:rPr>
      <w:b/>
      <w:bCs/>
      <w:i/>
      <w:iCs/>
      <w:color w:val="auto"/>
    </w:rPr>
  </w:style>
  <w:style w:type="paragraph" w:styleId="IntenseQuote">
    <w:name w:val="Intense Quote"/>
    <w:basedOn w:val="Normal"/>
    <w:next w:val="Normal"/>
    <w:link w:val="IntenseQuoteChar"/>
    <w:uiPriority w:val="30"/>
    <w:qFormat/>
    <w:rsid w:val="003750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0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0ED"/>
    <w:rPr>
      <w:smallCaps/>
      <w:color w:val="auto"/>
      <w:u w:val="single"/>
    </w:rPr>
  </w:style>
  <w:style w:type="character" w:styleId="IntenseReference">
    <w:name w:val="Intense Reference"/>
    <w:basedOn w:val="DefaultParagraphFont"/>
    <w:uiPriority w:val="32"/>
    <w:qFormat/>
    <w:rsid w:val="003750ED"/>
    <w:rPr>
      <w:b/>
      <w:bCs/>
      <w:smallCaps/>
      <w:color w:val="auto"/>
      <w:spacing w:val="5"/>
      <w:u w:val="single"/>
    </w:rPr>
  </w:style>
  <w:style w:type="paragraph" w:customStyle="1" w:styleId="2ColumnHeading">
    <w:name w:val="2Column Heading"/>
    <w:basedOn w:val="BodyText"/>
    <w:qFormat/>
    <w:rsid w:val="003750ED"/>
    <w:pPr>
      <w:spacing w:after="60"/>
      <w:ind w:left="-2268"/>
    </w:pPr>
    <w:rPr>
      <w:b/>
    </w:rPr>
  </w:style>
  <w:style w:type="paragraph" w:customStyle="1" w:styleId="Heading1TOC">
    <w:name w:val="Heading1 TOC"/>
    <w:basedOn w:val="Normal"/>
    <w:qFormat/>
    <w:rsid w:val="003750ED"/>
    <w:pPr>
      <w:spacing w:before="240" w:after="120"/>
    </w:pPr>
    <w:rPr>
      <w:rFonts w:ascii="Times New Roman" w:hAnsi="Times New Roman"/>
      <w:b/>
      <w:sz w:val="32"/>
    </w:rPr>
  </w:style>
  <w:style w:type="paragraph" w:customStyle="1" w:styleId="Heading2TOC">
    <w:name w:val="Heading2 TOC"/>
    <w:basedOn w:val="Normal"/>
    <w:qFormat/>
    <w:rsid w:val="003750ED"/>
    <w:pPr>
      <w:spacing w:before="240" w:after="60"/>
    </w:pPr>
    <w:rPr>
      <w:rFonts w:ascii="Times New Roman" w:hAnsi="Times New Roman"/>
      <w:b/>
      <w:sz w:val="28"/>
    </w:rPr>
  </w:style>
  <w:style w:type="character" w:customStyle="1" w:styleId="Underline">
    <w:name w:val="Underline"/>
    <w:basedOn w:val="DefaultParagraphFont"/>
    <w:qFormat/>
    <w:rsid w:val="003750ED"/>
    <w:rPr>
      <w:u w:val="single"/>
    </w:rPr>
  </w:style>
  <w:style w:type="character" w:customStyle="1" w:styleId="BoldandItalics">
    <w:name w:val="Bold and Italics"/>
    <w:qFormat/>
    <w:rsid w:val="003750ED"/>
    <w:rPr>
      <w:b/>
      <w:i/>
      <w:u w:val="none"/>
    </w:rPr>
  </w:style>
  <w:style w:type="paragraph" w:styleId="BalloonText">
    <w:name w:val="Balloon Text"/>
    <w:basedOn w:val="Normal"/>
    <w:link w:val="BalloonTextChar"/>
    <w:rsid w:val="003750ED"/>
    <w:rPr>
      <w:rFonts w:ascii="Tahoma" w:hAnsi="Tahoma" w:cs="Tahoma"/>
      <w:sz w:val="16"/>
      <w:szCs w:val="16"/>
    </w:rPr>
  </w:style>
  <w:style w:type="character" w:customStyle="1" w:styleId="BalloonTextChar">
    <w:name w:val="Balloon Text Char"/>
    <w:basedOn w:val="DefaultParagraphFont"/>
    <w:link w:val="BalloonText"/>
    <w:rsid w:val="003750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0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50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0ED"/>
    <w:rPr>
      <w:b/>
      <w:color w:val="660033"/>
      <w:spacing w:val="0"/>
    </w:rPr>
  </w:style>
  <w:style w:type="paragraph" w:customStyle="1" w:styleId="Nameditemlist">
    <w:name w:val="Named item list"/>
    <w:basedOn w:val="BodyText"/>
    <w:qFormat/>
    <w:rsid w:val="003750ED"/>
    <w:pPr>
      <w:tabs>
        <w:tab w:val="left" w:pos="2835"/>
      </w:tabs>
      <w:ind w:left="2835" w:hanging="2835"/>
    </w:pPr>
  </w:style>
  <w:style w:type="paragraph" w:customStyle="1" w:styleId="BodyTextnopadding">
    <w:name w:val="Body Text no padding"/>
    <w:basedOn w:val="BodyText"/>
    <w:qFormat/>
    <w:rsid w:val="003750ED"/>
    <w:pPr>
      <w:spacing w:before="0" w:after="0"/>
    </w:pPr>
  </w:style>
  <w:style w:type="paragraph" w:customStyle="1" w:styleId="BodyTextBold">
    <w:name w:val="Body Text Bold"/>
    <w:basedOn w:val="BodyText"/>
    <w:qFormat/>
    <w:rsid w:val="003750ED"/>
    <w:rPr>
      <w:b/>
    </w:rPr>
  </w:style>
  <w:style w:type="character" w:styleId="Hyperlink">
    <w:name w:val="Hyperlink"/>
    <w:basedOn w:val="DefaultParagraphFont"/>
    <w:uiPriority w:val="99"/>
    <w:unhideWhenUsed/>
    <w:rsid w:val="002C56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4757</Characters>
  <Application>Microsoft Office Word</Application>
  <DocSecurity>0</DocSecurity>
  <Lines>237</Lines>
  <Paragraphs>140</Paragraphs>
  <ScaleCrop>false</ScaleCrop>
  <Company>Author-it Software Corporation Ltd.</Company>
  <LinksUpToDate>false</LinksUpToDate>
  <CharactersWithSpaces>5321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MEM18056 Diagnose and repair analog equipment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2023-02-03T06:29:00Z</dcterms:created>
  <dcterms:modified xsi:type="dcterms:W3CDTF">2023-02-03T06:29:00Z</dcterms:modified>
</cp:coreProperties>
</file>