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7B55" w:rsidP="00A97B55">
      <w:pPr>
        <w:pStyle w:val="Title"/>
      </w:pPr>
      <w:r>
        <w:fldChar w:fldCharType="begin"/>
      </w:r>
      <w:r>
        <w:instrText xml:space="preserve"> TITLE   \* MERGEFORMAT </w:instrText>
      </w:r>
      <w:r>
        <w:fldChar w:fldCharType="separate"/>
      </w:r>
      <w:r>
        <w:t>MEM18055 Dismantle, replace and assemble engineering components</w:t>
      </w:r>
      <w:r>
        <w:fldChar w:fldCharType="end"/>
      </w:r>
    </w:p>
    <w:p w:rsidR="00A97B55" w:rsidP="00A97B55">
      <w:pPr>
        <w:pStyle w:val="Version"/>
        <w:sectPr w:rsidSect="00860B0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60B05" w:rsidP="00860B05">
      <w:pPr>
        <w:pStyle w:val="SuperHeading"/>
      </w:pPr>
      <w:r w:rsidRPr="00860B05">
        <w:t>MEM18055 Dism</w:t>
      </w:r>
      <w:r w:rsidRPr="00860B05">
        <w:t>antle, replace and assemble engineering components</w:t>
      </w:r>
    </w:p>
    <w:p w:rsidR="00000000" w:rsidRPr="00860B05" w:rsidP="00860B05">
      <w:pPr>
        <w:pStyle w:val="Heading1"/>
      </w:pPr>
      <w:bookmarkStart w:id="1" w:name="O_941313"/>
      <w:bookmarkEnd w:id="1"/>
      <w:r w:rsidRPr="00860B05">
        <w:t>Modification History</w:t>
      </w:r>
    </w:p>
    <w:p w:rsidR="00000000" w:rsidRPr="00860B05" w:rsidP="00A97B55">
      <w:pPr>
        <w:pStyle w:val="BodyText"/>
      </w:pPr>
      <w:r w:rsidRPr="00860B05">
        <w:t xml:space="preserve">Release 1. Supersedes and is equivalent to MEM18055B Dismantle, replace and assemble engineering components </w:t>
      </w:r>
    </w:p>
    <w:p w:rsidR="00000000" w:rsidRPr="00860B05" w:rsidP="00860B05">
      <w:pPr>
        <w:pStyle w:val="Heading1"/>
      </w:pPr>
      <w:bookmarkStart w:id="2" w:name="O_941321"/>
      <w:bookmarkEnd w:id="2"/>
      <w:r w:rsidRPr="00860B05">
        <w:t>Application</w:t>
      </w:r>
    </w:p>
    <w:p w:rsidR="00000000" w:rsidRPr="00860B05" w:rsidP="00A97B55">
      <w:pPr>
        <w:pStyle w:val="BodyText"/>
      </w:pPr>
      <w:r w:rsidRPr="00860B05">
        <w:t>This unit of competency defines the skills and knowledge required to dismantle, identify faulty components, select replacements and assemble engineering components into assemblies or sub-assemblies in accordance with standard operating procedures (SOPs).</w:t>
      </w:r>
    </w:p>
    <w:p w:rsidR="00000000" w:rsidRPr="00860B05" w:rsidP="00A97B55">
      <w:pPr>
        <w:pStyle w:val="BodyText"/>
      </w:pPr>
      <w:r w:rsidRPr="00860B05">
        <w:t>It also applies to the straightforward removal and replacement of pre-manufactured bearings and seals.</w:t>
      </w:r>
    </w:p>
    <w:p w:rsidR="00000000" w:rsidRPr="00860B05" w:rsidP="00A97B55">
      <w:pPr>
        <w:pStyle w:val="BodyText"/>
      </w:pPr>
      <w:r w:rsidRPr="00860B05">
        <w:t>Where precision mechanical measurement is required unit MEM12003 Perform precision mechanical measurement should also be selected.</w:t>
      </w:r>
    </w:p>
    <w:p w:rsidR="00000000" w:rsidRPr="00860B05" w:rsidP="00A97B55">
      <w:pPr>
        <w:pStyle w:val="BodyText"/>
      </w:pPr>
      <w:r w:rsidRPr="00860B05">
        <w:t>Where fitting techni</w:t>
      </w:r>
      <w:r w:rsidRPr="00860B05">
        <w:t>ques and principles are required to assess component condition, and/or modify components to achieve precision fits unit MEM18006 Perform precision fitting of engineering components should also be selected.</w:t>
      </w:r>
    </w:p>
    <w:p w:rsidR="00000000" w:rsidRPr="00860B05" w:rsidP="00A97B55">
      <w:pPr>
        <w:pStyle w:val="BodyText"/>
      </w:pPr>
      <w:r w:rsidRPr="00860B05">
        <w:t>No licensing, legislative or certification requir</w:t>
      </w:r>
      <w:r w:rsidRPr="00860B05">
        <w:t>ements apply to this unit at the time of publication.</w:t>
      </w:r>
    </w:p>
    <w:p w:rsidR="00000000" w:rsidRPr="00860B05" w:rsidP="00860B05">
      <w:pPr>
        <w:pStyle w:val="BodyText"/>
      </w:pPr>
      <w:r w:rsidRPr="00860B05">
        <w:rPr>
          <w:rStyle w:val="SpecialBold"/>
        </w:rPr>
        <w:t>Band</w:t>
      </w:r>
      <w:r w:rsidRPr="00860B05">
        <w:t>:</w:t>
      </w:r>
      <w:r w:rsidRPr="00860B05">
        <w:tab/>
      </w:r>
      <w:r w:rsidRPr="00860B05">
        <w:rPr>
          <w:rStyle w:val="SpecialBold"/>
        </w:rPr>
        <w:t>A</w:t>
      </w:r>
    </w:p>
    <w:p w:rsidR="00000000" w:rsidRPr="00860B05" w:rsidP="00860B05">
      <w:pPr>
        <w:pStyle w:val="BodyText"/>
      </w:pPr>
      <w:r w:rsidRPr="00860B05">
        <w:rPr>
          <w:rStyle w:val="SpecialBold"/>
        </w:rPr>
        <w:t>Unit Weight</w:t>
      </w:r>
      <w:r w:rsidRPr="00860B05">
        <w:t>:</w:t>
      </w:r>
      <w:r w:rsidRPr="00860B05">
        <w:tab/>
      </w:r>
      <w:r w:rsidRPr="00860B05">
        <w:rPr>
          <w:rStyle w:val="SpecialBold"/>
        </w:rPr>
        <w:t>3</w:t>
      </w:r>
    </w:p>
    <w:p w:rsidR="00000000" w:rsidRPr="00860B05" w:rsidP="00860B05">
      <w:pPr>
        <w:pStyle w:val="AllowPageBreak"/>
      </w:pPr>
    </w:p>
    <w:p w:rsidR="00000000" w:rsidRPr="00860B05" w:rsidP="00860B05">
      <w:pPr>
        <w:pStyle w:val="Heading1"/>
      </w:pPr>
      <w:bookmarkStart w:id="3" w:name="O_941320"/>
      <w:bookmarkEnd w:id="3"/>
      <w:r w:rsidRPr="00860B05">
        <w:t>Pre-requisite Unit</w:t>
      </w:r>
    </w:p>
    <w:tbl>
      <w:tblPr>
        <w:tblW w:w="0" w:type="auto"/>
        <w:tblLayout w:type="fixed"/>
        <w:tblCellMar>
          <w:left w:w="62" w:type="dxa"/>
          <w:right w:w="62" w:type="dxa"/>
        </w:tblCellMar>
        <w:tblLook w:val="0000"/>
      </w:tblPr>
      <w:tblGrid>
        <w:gridCol w:w="2204"/>
        <w:gridCol w:w="6360"/>
      </w:tblGrid>
      <w:tr w:rsidTr="00860B05">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860B05">
            <w:pPr>
              <w:pStyle w:val="BodyText"/>
              <w:rPr>
                <w:lang w:val="en-NZ"/>
              </w:rPr>
            </w:pPr>
            <w:r w:rsidRPr="00860B05">
              <w:t>MEM09002</w:t>
            </w:r>
          </w:p>
        </w:tc>
        <w:tc>
          <w:tcPr>
            <w:tcW w:w="6360" w:type="dxa"/>
            <w:tcBorders>
              <w:top w:val="nil"/>
              <w:left w:val="nil"/>
              <w:bottom w:val="nil"/>
              <w:right w:val="nil"/>
            </w:tcBorders>
            <w:tcMar>
              <w:top w:w="0" w:type="dxa"/>
              <w:left w:w="62" w:type="dxa"/>
              <w:bottom w:w="0" w:type="dxa"/>
              <w:right w:w="62" w:type="dxa"/>
            </w:tcMar>
          </w:tcPr>
          <w:p w:rsidR="00000000" w:rsidP="00860B05">
            <w:pPr>
              <w:pStyle w:val="BodyText"/>
              <w:rPr>
                <w:lang w:val="en-NZ"/>
              </w:rPr>
            </w:pPr>
            <w:r w:rsidRPr="00860B05">
              <w:t>Interpret technical drawing</w:t>
            </w:r>
          </w:p>
        </w:tc>
      </w:tr>
      <w:tr w:rsidTr="00860B05">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860B05">
            <w:pPr>
              <w:pStyle w:val="BodyText"/>
              <w:rPr>
                <w:lang w:val="en-NZ"/>
              </w:rPr>
            </w:pPr>
            <w:r w:rsidRPr="00860B05">
              <w:t>MEM11011</w:t>
            </w:r>
          </w:p>
        </w:tc>
        <w:tc>
          <w:tcPr>
            <w:tcW w:w="6360" w:type="dxa"/>
            <w:tcBorders>
              <w:top w:val="nil"/>
              <w:left w:val="nil"/>
              <w:bottom w:val="nil"/>
              <w:right w:val="nil"/>
            </w:tcBorders>
            <w:tcMar>
              <w:top w:w="0" w:type="dxa"/>
              <w:left w:w="62" w:type="dxa"/>
              <w:bottom w:w="0" w:type="dxa"/>
              <w:right w:w="62" w:type="dxa"/>
            </w:tcMar>
          </w:tcPr>
          <w:p w:rsidR="00000000" w:rsidP="00860B05">
            <w:pPr>
              <w:pStyle w:val="BodyText"/>
              <w:rPr>
                <w:lang w:val="en-NZ"/>
              </w:rPr>
            </w:pPr>
            <w:r w:rsidRPr="00860B05">
              <w:t>Undertake manual handling</w:t>
            </w:r>
          </w:p>
        </w:tc>
      </w:tr>
      <w:tr w:rsidTr="00860B05">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860B05">
            <w:pPr>
              <w:pStyle w:val="BodyText"/>
              <w:rPr>
                <w:lang w:val="en-NZ"/>
              </w:rPr>
            </w:pPr>
            <w:r w:rsidRPr="00860B05">
              <w:t>MEM12023</w:t>
            </w:r>
          </w:p>
        </w:tc>
        <w:tc>
          <w:tcPr>
            <w:tcW w:w="6360" w:type="dxa"/>
            <w:tcBorders>
              <w:top w:val="nil"/>
              <w:left w:val="nil"/>
              <w:bottom w:val="nil"/>
              <w:right w:val="nil"/>
            </w:tcBorders>
            <w:tcMar>
              <w:top w:w="0" w:type="dxa"/>
              <w:left w:w="62" w:type="dxa"/>
              <w:bottom w:w="0" w:type="dxa"/>
              <w:right w:w="62" w:type="dxa"/>
            </w:tcMar>
          </w:tcPr>
          <w:p w:rsidR="00000000" w:rsidP="00860B05">
            <w:pPr>
              <w:pStyle w:val="BodyText"/>
              <w:rPr>
                <w:lang w:val="en-NZ"/>
              </w:rPr>
            </w:pPr>
            <w:r w:rsidRPr="00860B05">
              <w:t>Perform engineering measurements</w:t>
            </w:r>
          </w:p>
        </w:tc>
      </w:tr>
      <w:tr w:rsidTr="00860B05">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860B05">
            <w:pPr>
              <w:pStyle w:val="BodyText"/>
              <w:rPr>
                <w:lang w:val="en-NZ"/>
              </w:rPr>
            </w:pPr>
            <w:r w:rsidRPr="00860B05">
              <w:t>MEM13015</w:t>
            </w:r>
          </w:p>
        </w:tc>
        <w:tc>
          <w:tcPr>
            <w:tcW w:w="6360" w:type="dxa"/>
            <w:tcBorders>
              <w:top w:val="nil"/>
              <w:left w:val="nil"/>
              <w:bottom w:val="nil"/>
              <w:right w:val="nil"/>
            </w:tcBorders>
            <w:tcMar>
              <w:top w:w="0" w:type="dxa"/>
              <w:left w:w="62" w:type="dxa"/>
              <w:bottom w:w="0" w:type="dxa"/>
              <w:right w:w="62" w:type="dxa"/>
            </w:tcMar>
          </w:tcPr>
          <w:p w:rsidR="00000000" w:rsidP="00860B05">
            <w:pPr>
              <w:pStyle w:val="BodyText"/>
              <w:rPr>
                <w:lang w:val="en-NZ"/>
              </w:rPr>
            </w:pPr>
            <w:r w:rsidRPr="00860B05">
              <w:t>Work safely and effectively in manufacturing and engineering</w:t>
            </w:r>
          </w:p>
        </w:tc>
      </w:tr>
      <w:tr w:rsidTr="00860B05">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860B05">
            <w:pPr>
              <w:pStyle w:val="BodyText"/>
              <w:rPr>
                <w:lang w:val="en-NZ"/>
              </w:rPr>
            </w:pPr>
            <w:r w:rsidRPr="00860B05">
              <w:t>MEM16006</w:t>
            </w:r>
          </w:p>
        </w:tc>
        <w:tc>
          <w:tcPr>
            <w:tcW w:w="6360" w:type="dxa"/>
            <w:tcBorders>
              <w:top w:val="nil"/>
              <w:left w:val="nil"/>
              <w:bottom w:val="nil"/>
              <w:right w:val="nil"/>
            </w:tcBorders>
            <w:tcMar>
              <w:top w:w="0" w:type="dxa"/>
              <w:left w:w="62" w:type="dxa"/>
              <w:bottom w:w="0" w:type="dxa"/>
              <w:right w:w="62" w:type="dxa"/>
            </w:tcMar>
          </w:tcPr>
          <w:p w:rsidR="00000000" w:rsidP="00860B05">
            <w:pPr>
              <w:pStyle w:val="BodyText"/>
              <w:rPr>
                <w:lang w:val="en-NZ"/>
              </w:rPr>
            </w:pPr>
            <w:r w:rsidRPr="00860B05">
              <w:t>Organise and communicate information</w:t>
            </w:r>
          </w:p>
        </w:tc>
      </w:tr>
      <w:tr w:rsidTr="00860B05">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860B05">
            <w:pPr>
              <w:pStyle w:val="BodyText"/>
              <w:rPr>
                <w:lang w:val="en-NZ"/>
              </w:rPr>
            </w:pPr>
            <w:r w:rsidRPr="00860B05">
              <w:t>MEM18001</w:t>
            </w:r>
          </w:p>
        </w:tc>
        <w:tc>
          <w:tcPr>
            <w:tcW w:w="6360" w:type="dxa"/>
            <w:tcBorders>
              <w:top w:val="nil"/>
              <w:left w:val="nil"/>
              <w:bottom w:val="nil"/>
              <w:right w:val="nil"/>
            </w:tcBorders>
            <w:tcMar>
              <w:top w:w="0" w:type="dxa"/>
              <w:left w:w="62" w:type="dxa"/>
              <w:bottom w:w="0" w:type="dxa"/>
              <w:right w:w="62" w:type="dxa"/>
            </w:tcMar>
          </w:tcPr>
          <w:p w:rsidR="00000000" w:rsidP="00860B05">
            <w:pPr>
              <w:pStyle w:val="BodyText"/>
              <w:rPr>
                <w:lang w:val="en-NZ"/>
              </w:rPr>
            </w:pPr>
            <w:r w:rsidRPr="00860B05">
              <w:t>Use hand tools</w:t>
            </w:r>
          </w:p>
        </w:tc>
      </w:tr>
      <w:tr w:rsidTr="00860B05">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860B05">
            <w:pPr>
              <w:pStyle w:val="BodyText"/>
              <w:rPr>
                <w:lang w:val="en-NZ"/>
              </w:rPr>
            </w:pPr>
            <w:r w:rsidRPr="00860B05">
              <w:t>MEM18002</w:t>
            </w:r>
          </w:p>
        </w:tc>
        <w:tc>
          <w:tcPr>
            <w:tcW w:w="6360" w:type="dxa"/>
            <w:tcBorders>
              <w:top w:val="nil"/>
              <w:left w:val="nil"/>
              <w:bottom w:val="nil"/>
              <w:right w:val="nil"/>
            </w:tcBorders>
            <w:tcMar>
              <w:top w:w="0" w:type="dxa"/>
              <w:left w:w="62" w:type="dxa"/>
              <w:bottom w:w="0" w:type="dxa"/>
              <w:right w:w="62" w:type="dxa"/>
            </w:tcMar>
          </w:tcPr>
          <w:p w:rsidR="00000000" w:rsidRPr="00860B05" w:rsidP="00860B05">
            <w:pPr>
              <w:pStyle w:val="BodyText"/>
            </w:pPr>
            <w:r w:rsidRPr="00860B05">
              <w:t>Use power tools/hand held operations</w:t>
            </w:r>
          </w:p>
        </w:tc>
      </w:tr>
    </w:tbl>
    <w:p w:rsidR="00000000" w:rsidRPr="00860B05" w:rsidP="00860B05">
      <w:pPr>
        <w:pStyle w:val="BodyText"/>
      </w:pPr>
    </w:p>
    <w:p w:rsidR="00000000" w:rsidRPr="00860B05" w:rsidP="00860B05">
      <w:pPr>
        <w:pStyle w:val="AllowPageBreak"/>
      </w:pPr>
    </w:p>
    <w:p w:rsidR="00000000" w:rsidRPr="00860B05" w:rsidP="00860B05">
      <w:pPr>
        <w:pStyle w:val="Heading1"/>
      </w:pPr>
      <w:bookmarkStart w:id="4" w:name="O_941319"/>
      <w:bookmarkEnd w:id="4"/>
      <w:r w:rsidRPr="00860B05">
        <w:t>Competency Field</w:t>
      </w:r>
    </w:p>
    <w:p w:rsidR="00000000" w:rsidRPr="00860B05" w:rsidP="00A97B55">
      <w:pPr>
        <w:pStyle w:val="BodyText"/>
      </w:pPr>
      <w:r w:rsidRPr="00860B05">
        <w:t>Maintenance and diagnostics</w:t>
      </w:r>
    </w:p>
    <w:p w:rsidR="00000000" w:rsidRPr="00860B05" w:rsidP="00860B05">
      <w:pPr>
        <w:pStyle w:val="Heading1"/>
      </w:pPr>
      <w:bookmarkStart w:id="5" w:name="O_941317"/>
      <w:bookmarkEnd w:id="5"/>
      <w:r w:rsidRPr="00860B05">
        <w:t>Elements and Performance Criteria</w:t>
      </w:r>
    </w:p>
    <w:tbl>
      <w:tblPr>
        <w:tblW w:w="0" w:type="auto"/>
        <w:tblLayout w:type="fixed"/>
        <w:tblCellMar>
          <w:left w:w="62" w:type="dxa"/>
          <w:right w:w="62" w:type="dxa"/>
        </w:tblCellMar>
        <w:tblLook w:val="0000"/>
      </w:tblPr>
      <w:tblGrid>
        <w:gridCol w:w="683"/>
        <w:gridCol w:w="1974"/>
        <w:gridCol w:w="775"/>
        <w:gridCol w:w="5641"/>
      </w:tblGrid>
      <w:tr w:rsidTr="00860B05">
        <w:tblPrEx>
          <w:tblW w:w="0" w:type="auto"/>
          <w:tblLayout w:type="fixed"/>
          <w:tblCellMar>
            <w:left w:w="62" w:type="dxa"/>
            <w:right w:w="62" w:type="dxa"/>
          </w:tblCellMar>
          <w:tblLook w:val="0000"/>
        </w:tblPrEx>
        <w:trPr>
          <w:tblHeader/>
        </w:trPr>
        <w:tc>
          <w:tcPr>
            <w:tcW w:w="2657" w:type="dxa"/>
            <w:gridSpan w:val="2"/>
            <w:tcBorders>
              <w:top w:val="nil"/>
              <w:left w:val="nil"/>
              <w:bottom w:val="nil"/>
              <w:right w:val="nil"/>
            </w:tcBorders>
            <w:tcMar>
              <w:top w:w="0" w:type="dxa"/>
              <w:left w:w="62" w:type="dxa"/>
              <w:bottom w:w="0" w:type="dxa"/>
              <w:right w:w="62" w:type="dxa"/>
            </w:tcMar>
          </w:tcPr>
          <w:p w:rsidR="00000000" w:rsidP="00860B05">
            <w:pPr>
              <w:pStyle w:val="BodyText"/>
              <w:rPr>
                <w:lang w:val="en-NZ"/>
              </w:rPr>
            </w:pPr>
            <w:r w:rsidRPr="00860B05">
              <w:t>Elements describe the essential outcomes.</w:t>
            </w:r>
          </w:p>
        </w:tc>
        <w:tc>
          <w:tcPr>
            <w:tcW w:w="6416" w:type="dxa"/>
            <w:gridSpan w:val="2"/>
            <w:tcBorders>
              <w:top w:val="nil"/>
              <w:left w:val="nil"/>
              <w:bottom w:val="nil"/>
              <w:right w:val="nil"/>
            </w:tcBorders>
            <w:tcMar>
              <w:top w:w="0" w:type="dxa"/>
              <w:left w:w="62" w:type="dxa"/>
              <w:bottom w:w="0" w:type="dxa"/>
              <w:right w:w="62" w:type="dxa"/>
            </w:tcMar>
          </w:tcPr>
          <w:p w:rsidR="00000000" w:rsidP="00860B05">
            <w:pPr>
              <w:pStyle w:val="BodyText"/>
              <w:rPr>
                <w:lang w:val="en-NZ"/>
              </w:rPr>
            </w:pPr>
            <w:r w:rsidRPr="00860B05">
              <w:t>Performance criteria describe the performance needed to demonstrate achievement of the element.</w:t>
            </w:r>
          </w:p>
        </w:tc>
      </w:tr>
      <w:tr w:rsidTr="00860B05">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860B05" w:rsidP="00860B05">
            <w:pPr>
              <w:pStyle w:val="BodyText"/>
            </w:pPr>
            <w:r w:rsidRPr="00860B05">
              <w:t>1</w:t>
            </w:r>
          </w:p>
        </w:tc>
        <w:tc>
          <w:tcPr>
            <w:tcW w:w="1974" w:type="dxa"/>
            <w:vMerge w:val="restart"/>
            <w:tcBorders>
              <w:top w:val="nil"/>
              <w:left w:val="nil"/>
              <w:bottom w:val="nil"/>
              <w:right w:val="nil"/>
            </w:tcBorders>
            <w:tcMar>
              <w:top w:w="0" w:type="dxa"/>
              <w:left w:w="62" w:type="dxa"/>
              <w:bottom w:w="0" w:type="dxa"/>
              <w:right w:w="62" w:type="dxa"/>
            </w:tcMar>
          </w:tcPr>
          <w:p w:rsidR="00000000" w:rsidP="00860B05">
            <w:pPr>
              <w:pStyle w:val="BodyText"/>
              <w:rPr>
                <w:lang w:val="en-NZ"/>
              </w:rPr>
            </w:pPr>
            <w:r w:rsidRPr="00860B05">
              <w:rPr>
                <w:rStyle w:val="SpecialBold"/>
              </w:rPr>
              <w:t>Determine job requirements</w:t>
            </w:r>
          </w:p>
        </w:tc>
        <w:tc>
          <w:tcPr>
            <w:tcW w:w="775" w:type="dxa"/>
            <w:tcBorders>
              <w:top w:val="nil"/>
              <w:left w:val="nil"/>
              <w:bottom w:val="nil"/>
              <w:right w:val="nil"/>
            </w:tcBorders>
            <w:tcMar>
              <w:top w:w="0" w:type="dxa"/>
              <w:left w:w="62" w:type="dxa"/>
              <w:bottom w:w="0" w:type="dxa"/>
              <w:right w:w="62" w:type="dxa"/>
            </w:tcMar>
          </w:tcPr>
          <w:p w:rsidR="00000000" w:rsidP="00860B05">
            <w:pPr>
              <w:pStyle w:val="BodyText"/>
              <w:rPr>
                <w:lang w:val="en-NZ"/>
              </w:rPr>
            </w:pPr>
            <w:r w:rsidRPr="00860B05">
              <w:t>1.1</w:t>
            </w:r>
          </w:p>
        </w:tc>
        <w:tc>
          <w:tcPr>
            <w:tcW w:w="5641" w:type="dxa"/>
            <w:tcBorders>
              <w:top w:val="nil"/>
              <w:left w:val="nil"/>
              <w:bottom w:val="nil"/>
              <w:right w:val="nil"/>
            </w:tcBorders>
            <w:tcMar>
              <w:top w:w="0" w:type="dxa"/>
              <w:left w:w="62" w:type="dxa"/>
              <w:bottom w:w="0" w:type="dxa"/>
              <w:right w:w="62" w:type="dxa"/>
            </w:tcMar>
          </w:tcPr>
          <w:p w:rsidR="00000000" w:rsidP="00860B05">
            <w:pPr>
              <w:pStyle w:val="BodyText"/>
              <w:rPr>
                <w:lang w:val="en-NZ"/>
              </w:rPr>
            </w:pPr>
            <w:r w:rsidRPr="00860B05">
              <w:t>Follow standard operating procedures (SO</w:t>
            </w:r>
            <w:r w:rsidRPr="00860B05">
              <w:t>Ps)</w:t>
            </w:r>
          </w:p>
        </w:tc>
      </w:tr>
      <w:tr w:rsidTr="00860B05">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860B05">
            <w:pPr>
              <w:pStyle w:val="BodyText"/>
              <w:rPr>
                <w:lang w:val="en-NZ"/>
              </w:rPr>
            </w:pPr>
            <w:r w:rsidRPr="00860B05">
              <w:t>1.2</w:t>
            </w:r>
          </w:p>
        </w:tc>
        <w:tc>
          <w:tcPr>
            <w:tcW w:w="5641" w:type="dxa"/>
            <w:tcBorders>
              <w:top w:val="nil"/>
              <w:left w:val="nil"/>
              <w:bottom w:val="nil"/>
              <w:right w:val="nil"/>
            </w:tcBorders>
            <w:tcMar>
              <w:top w:w="0" w:type="dxa"/>
              <w:left w:w="62" w:type="dxa"/>
              <w:bottom w:w="0" w:type="dxa"/>
              <w:right w:w="62" w:type="dxa"/>
            </w:tcMar>
          </w:tcPr>
          <w:p w:rsidR="00000000" w:rsidP="00860B05">
            <w:pPr>
              <w:pStyle w:val="BodyText"/>
              <w:rPr>
                <w:lang w:val="en-NZ"/>
              </w:rPr>
            </w:pPr>
            <w:r w:rsidRPr="00860B05">
              <w:t>Comply with work health and safety (WHS) requirements at all times</w:t>
            </w:r>
          </w:p>
        </w:tc>
      </w:tr>
      <w:tr w:rsidTr="00860B05">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860B05">
            <w:pPr>
              <w:pStyle w:val="BodyText"/>
              <w:rPr>
                <w:lang w:val="en-NZ"/>
              </w:rPr>
            </w:pPr>
            <w:r w:rsidRPr="00860B05">
              <w:t>1.3</w:t>
            </w:r>
          </w:p>
        </w:tc>
        <w:tc>
          <w:tcPr>
            <w:tcW w:w="5641" w:type="dxa"/>
            <w:tcBorders>
              <w:top w:val="nil"/>
              <w:left w:val="nil"/>
              <w:bottom w:val="nil"/>
              <w:right w:val="nil"/>
            </w:tcBorders>
            <w:tcMar>
              <w:top w:w="0" w:type="dxa"/>
              <w:left w:w="62" w:type="dxa"/>
              <w:bottom w:w="0" w:type="dxa"/>
              <w:right w:w="62" w:type="dxa"/>
            </w:tcMar>
          </w:tcPr>
          <w:p w:rsidR="00000000" w:rsidP="00860B05">
            <w:pPr>
              <w:pStyle w:val="BodyText"/>
              <w:rPr>
                <w:lang w:val="en-NZ"/>
              </w:rPr>
            </w:pPr>
            <w:r w:rsidRPr="00860B05">
              <w:t>Use appropriate personal protective equipment (PPE) in accordance with SOPs</w:t>
            </w:r>
          </w:p>
        </w:tc>
      </w:tr>
      <w:tr w:rsidTr="00860B05">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860B05">
            <w:pPr>
              <w:pStyle w:val="BodyText"/>
              <w:rPr>
                <w:lang w:val="en-NZ"/>
              </w:rPr>
            </w:pPr>
            <w:r w:rsidRPr="00860B05">
              <w:t>1.4</w:t>
            </w:r>
          </w:p>
        </w:tc>
        <w:tc>
          <w:tcPr>
            <w:tcW w:w="5641" w:type="dxa"/>
            <w:tcBorders>
              <w:top w:val="nil"/>
              <w:left w:val="nil"/>
              <w:bottom w:val="nil"/>
              <w:right w:val="nil"/>
            </w:tcBorders>
            <w:tcMar>
              <w:top w:w="0" w:type="dxa"/>
              <w:left w:w="62" w:type="dxa"/>
              <w:bottom w:w="0" w:type="dxa"/>
              <w:right w:w="62" w:type="dxa"/>
            </w:tcMar>
          </w:tcPr>
          <w:p w:rsidR="00000000" w:rsidP="00860B05">
            <w:pPr>
              <w:pStyle w:val="BodyText"/>
              <w:rPr>
                <w:lang w:val="en-NZ"/>
              </w:rPr>
            </w:pPr>
            <w:r w:rsidRPr="00860B05">
              <w:t>Identify job requirements from specifications, drawings, job sheets or work instructions</w:t>
            </w:r>
          </w:p>
        </w:tc>
      </w:tr>
      <w:tr w:rsidTr="00860B05">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860B05">
            <w:pPr>
              <w:pStyle w:val="BodyText"/>
              <w:rPr>
                <w:lang w:val="en-NZ"/>
              </w:rPr>
            </w:pPr>
          </w:p>
        </w:tc>
      </w:tr>
      <w:tr w:rsidTr="00860B05">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860B05" w:rsidP="00860B05">
            <w:pPr>
              <w:pStyle w:val="BodyText"/>
            </w:pPr>
            <w:r w:rsidRPr="00860B05">
              <w:t>2</w:t>
            </w:r>
          </w:p>
        </w:tc>
        <w:tc>
          <w:tcPr>
            <w:tcW w:w="1974" w:type="dxa"/>
            <w:vMerge w:val="restart"/>
            <w:tcBorders>
              <w:top w:val="nil"/>
              <w:left w:val="nil"/>
              <w:bottom w:val="nil"/>
              <w:right w:val="nil"/>
            </w:tcBorders>
            <w:tcMar>
              <w:top w:w="0" w:type="dxa"/>
              <w:left w:w="62" w:type="dxa"/>
              <w:bottom w:w="0" w:type="dxa"/>
              <w:right w:w="62" w:type="dxa"/>
            </w:tcMar>
          </w:tcPr>
          <w:p w:rsidR="00000000" w:rsidP="00860B05">
            <w:pPr>
              <w:pStyle w:val="BodyText"/>
              <w:rPr>
                <w:lang w:val="en-NZ"/>
              </w:rPr>
            </w:pPr>
            <w:r w:rsidRPr="00860B05">
              <w:rPr>
                <w:rStyle w:val="SpecialBold"/>
              </w:rPr>
              <w:t>Dismantle engineering components</w:t>
            </w:r>
          </w:p>
        </w:tc>
        <w:tc>
          <w:tcPr>
            <w:tcW w:w="775" w:type="dxa"/>
            <w:tcBorders>
              <w:top w:val="nil"/>
              <w:left w:val="nil"/>
              <w:bottom w:val="nil"/>
              <w:right w:val="nil"/>
            </w:tcBorders>
            <w:tcMar>
              <w:top w:w="0" w:type="dxa"/>
              <w:left w:w="62" w:type="dxa"/>
              <w:bottom w:w="0" w:type="dxa"/>
              <w:right w:w="62" w:type="dxa"/>
            </w:tcMar>
          </w:tcPr>
          <w:p w:rsidR="00000000" w:rsidP="00860B05">
            <w:pPr>
              <w:pStyle w:val="BodyText"/>
              <w:rPr>
                <w:lang w:val="en-NZ"/>
              </w:rPr>
            </w:pPr>
            <w:r w:rsidRPr="00860B05">
              <w:t>2.1</w:t>
            </w:r>
          </w:p>
        </w:tc>
        <w:tc>
          <w:tcPr>
            <w:tcW w:w="5641" w:type="dxa"/>
            <w:tcBorders>
              <w:top w:val="nil"/>
              <w:left w:val="nil"/>
              <w:bottom w:val="nil"/>
              <w:right w:val="nil"/>
            </w:tcBorders>
            <w:tcMar>
              <w:top w:w="0" w:type="dxa"/>
              <w:left w:w="62" w:type="dxa"/>
              <w:bottom w:w="0" w:type="dxa"/>
              <w:right w:w="62" w:type="dxa"/>
            </w:tcMar>
          </w:tcPr>
          <w:p w:rsidR="00000000" w:rsidP="00860B05">
            <w:pPr>
              <w:pStyle w:val="BodyText"/>
              <w:rPr>
                <w:lang w:val="en-NZ"/>
              </w:rPr>
            </w:pPr>
            <w:r w:rsidRPr="00860B05">
              <w:t>Inspect engineering components and analyse task requirements</w:t>
            </w:r>
          </w:p>
        </w:tc>
      </w:tr>
      <w:tr w:rsidTr="00860B05">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860B05">
            <w:pPr>
              <w:pStyle w:val="BodyText"/>
              <w:rPr>
                <w:lang w:val="en-NZ"/>
              </w:rPr>
            </w:pPr>
            <w:r w:rsidRPr="00860B05">
              <w:t>2.2</w:t>
            </w:r>
          </w:p>
        </w:tc>
        <w:tc>
          <w:tcPr>
            <w:tcW w:w="5641" w:type="dxa"/>
            <w:tcBorders>
              <w:top w:val="nil"/>
              <w:left w:val="nil"/>
              <w:bottom w:val="nil"/>
              <w:right w:val="nil"/>
            </w:tcBorders>
            <w:tcMar>
              <w:top w:w="0" w:type="dxa"/>
              <w:left w:w="62" w:type="dxa"/>
              <w:bottom w:w="0" w:type="dxa"/>
              <w:right w:w="62" w:type="dxa"/>
            </w:tcMar>
          </w:tcPr>
          <w:p w:rsidR="00000000" w:rsidP="00860B05">
            <w:pPr>
              <w:pStyle w:val="BodyText"/>
              <w:rPr>
                <w:lang w:val="en-NZ"/>
              </w:rPr>
            </w:pPr>
            <w:r w:rsidRPr="00860B05">
              <w:t>Dismantle components using appropriate tools and techniques</w:t>
            </w:r>
          </w:p>
        </w:tc>
      </w:tr>
      <w:tr w:rsidTr="00860B05">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860B05">
            <w:pPr>
              <w:pStyle w:val="BodyText"/>
              <w:rPr>
                <w:lang w:val="en-NZ"/>
              </w:rPr>
            </w:pPr>
            <w:r w:rsidRPr="00860B05">
              <w:t>2.3</w:t>
            </w:r>
          </w:p>
        </w:tc>
        <w:tc>
          <w:tcPr>
            <w:tcW w:w="5641" w:type="dxa"/>
            <w:tcBorders>
              <w:top w:val="nil"/>
              <w:left w:val="nil"/>
              <w:bottom w:val="nil"/>
              <w:right w:val="nil"/>
            </w:tcBorders>
            <w:tcMar>
              <w:top w:w="0" w:type="dxa"/>
              <w:left w:w="62" w:type="dxa"/>
              <w:bottom w:w="0" w:type="dxa"/>
              <w:right w:w="62" w:type="dxa"/>
            </w:tcMar>
          </w:tcPr>
          <w:p w:rsidR="00000000" w:rsidP="00860B05">
            <w:pPr>
              <w:pStyle w:val="BodyText"/>
              <w:rPr>
                <w:lang w:val="en-NZ"/>
              </w:rPr>
            </w:pPr>
            <w:r w:rsidRPr="00860B05">
              <w:t>Mark components for identification, where required</w:t>
            </w:r>
          </w:p>
        </w:tc>
      </w:tr>
      <w:tr w:rsidTr="00860B05">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860B05">
            <w:pPr>
              <w:pStyle w:val="BodyText"/>
              <w:rPr>
                <w:lang w:val="en-NZ"/>
              </w:rPr>
            </w:pPr>
          </w:p>
        </w:tc>
      </w:tr>
      <w:tr w:rsidTr="00860B05">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860B05" w:rsidP="00860B05">
            <w:pPr>
              <w:pStyle w:val="BodyText"/>
            </w:pPr>
            <w:r w:rsidRPr="00860B05">
              <w:t>3</w:t>
            </w:r>
          </w:p>
        </w:tc>
        <w:tc>
          <w:tcPr>
            <w:tcW w:w="1974" w:type="dxa"/>
            <w:vMerge w:val="restart"/>
            <w:tcBorders>
              <w:top w:val="nil"/>
              <w:left w:val="nil"/>
              <w:bottom w:val="nil"/>
              <w:right w:val="nil"/>
            </w:tcBorders>
            <w:tcMar>
              <w:top w:w="0" w:type="dxa"/>
              <w:left w:w="62" w:type="dxa"/>
              <w:bottom w:w="0" w:type="dxa"/>
              <w:right w:w="62" w:type="dxa"/>
            </w:tcMar>
          </w:tcPr>
          <w:p w:rsidR="00000000" w:rsidP="00860B05">
            <w:pPr>
              <w:pStyle w:val="BodyText"/>
              <w:rPr>
                <w:lang w:val="en-NZ"/>
              </w:rPr>
            </w:pPr>
            <w:r w:rsidRPr="00860B05">
              <w:rPr>
                <w:rStyle w:val="SpecialBold"/>
              </w:rPr>
              <w:t>Identify faulty components and select replacement parts</w:t>
            </w:r>
          </w:p>
        </w:tc>
        <w:tc>
          <w:tcPr>
            <w:tcW w:w="775" w:type="dxa"/>
            <w:tcBorders>
              <w:top w:val="nil"/>
              <w:left w:val="nil"/>
              <w:bottom w:val="nil"/>
              <w:right w:val="nil"/>
            </w:tcBorders>
            <w:tcMar>
              <w:top w:w="0" w:type="dxa"/>
              <w:left w:w="62" w:type="dxa"/>
              <w:bottom w:w="0" w:type="dxa"/>
              <w:right w:w="62" w:type="dxa"/>
            </w:tcMar>
          </w:tcPr>
          <w:p w:rsidR="00000000" w:rsidP="00860B05">
            <w:pPr>
              <w:pStyle w:val="BodyText"/>
              <w:rPr>
                <w:lang w:val="en-NZ"/>
              </w:rPr>
            </w:pPr>
            <w:r w:rsidRPr="00860B05">
              <w:t>3.1</w:t>
            </w:r>
          </w:p>
        </w:tc>
        <w:tc>
          <w:tcPr>
            <w:tcW w:w="5641" w:type="dxa"/>
            <w:tcBorders>
              <w:top w:val="nil"/>
              <w:left w:val="nil"/>
              <w:bottom w:val="nil"/>
              <w:right w:val="nil"/>
            </w:tcBorders>
            <w:tcMar>
              <w:top w:w="0" w:type="dxa"/>
              <w:left w:w="62" w:type="dxa"/>
              <w:bottom w:w="0" w:type="dxa"/>
              <w:right w:w="62" w:type="dxa"/>
            </w:tcMar>
          </w:tcPr>
          <w:p w:rsidR="00000000" w:rsidP="00860B05">
            <w:pPr>
              <w:pStyle w:val="BodyText"/>
              <w:rPr>
                <w:lang w:val="en-NZ"/>
              </w:rPr>
            </w:pPr>
            <w:r w:rsidRPr="00860B05">
              <w:t>Obtain and interpret specifications for components from appropriate source</w:t>
            </w:r>
          </w:p>
        </w:tc>
      </w:tr>
      <w:tr w:rsidTr="00860B05">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860B05">
            <w:pPr>
              <w:pStyle w:val="BodyText"/>
              <w:rPr>
                <w:lang w:val="en-NZ"/>
              </w:rPr>
            </w:pPr>
            <w:r w:rsidRPr="00860B05">
              <w:t>3.2</w:t>
            </w:r>
          </w:p>
        </w:tc>
        <w:tc>
          <w:tcPr>
            <w:tcW w:w="5641" w:type="dxa"/>
            <w:tcBorders>
              <w:top w:val="nil"/>
              <w:left w:val="nil"/>
              <w:bottom w:val="nil"/>
              <w:right w:val="nil"/>
            </w:tcBorders>
            <w:tcMar>
              <w:top w:w="0" w:type="dxa"/>
              <w:left w:w="62" w:type="dxa"/>
              <w:bottom w:w="0" w:type="dxa"/>
              <w:right w:w="62" w:type="dxa"/>
            </w:tcMar>
          </w:tcPr>
          <w:p w:rsidR="00000000" w:rsidP="00860B05">
            <w:pPr>
              <w:pStyle w:val="BodyText"/>
              <w:rPr>
                <w:lang w:val="en-NZ"/>
              </w:rPr>
            </w:pPr>
            <w:r w:rsidRPr="00860B05">
              <w:t xml:space="preserve">Identify out-of-specification, damaged or faulty components </w:t>
            </w:r>
          </w:p>
        </w:tc>
      </w:tr>
      <w:tr w:rsidTr="00860B05">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860B05">
            <w:pPr>
              <w:pStyle w:val="BodyText"/>
              <w:rPr>
                <w:lang w:val="en-NZ"/>
              </w:rPr>
            </w:pPr>
            <w:r w:rsidRPr="00860B05">
              <w:t>3.3</w:t>
            </w:r>
          </w:p>
        </w:tc>
        <w:tc>
          <w:tcPr>
            <w:tcW w:w="5641" w:type="dxa"/>
            <w:tcBorders>
              <w:top w:val="nil"/>
              <w:left w:val="nil"/>
              <w:bottom w:val="nil"/>
              <w:right w:val="nil"/>
            </w:tcBorders>
            <w:tcMar>
              <w:top w:w="0" w:type="dxa"/>
              <w:left w:w="62" w:type="dxa"/>
              <w:bottom w:w="0" w:type="dxa"/>
              <w:right w:w="62" w:type="dxa"/>
            </w:tcMar>
          </w:tcPr>
          <w:p w:rsidR="00000000" w:rsidP="00860B05">
            <w:pPr>
              <w:pStyle w:val="BodyText"/>
              <w:rPr>
                <w:lang w:val="en-NZ"/>
              </w:rPr>
            </w:pPr>
            <w:r w:rsidRPr="00860B05">
              <w:t>Identify faulty components for repair, replacement or adjustment</w:t>
            </w:r>
          </w:p>
        </w:tc>
      </w:tr>
      <w:tr w:rsidTr="00860B05">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860B05">
            <w:pPr>
              <w:pStyle w:val="BodyText"/>
              <w:rPr>
                <w:lang w:val="en-NZ"/>
              </w:rPr>
            </w:pPr>
            <w:r w:rsidRPr="00860B05">
              <w:t>3.4</w:t>
            </w:r>
          </w:p>
        </w:tc>
        <w:tc>
          <w:tcPr>
            <w:tcW w:w="5641" w:type="dxa"/>
            <w:tcBorders>
              <w:top w:val="nil"/>
              <w:left w:val="nil"/>
              <w:bottom w:val="nil"/>
              <w:right w:val="nil"/>
            </w:tcBorders>
            <w:tcMar>
              <w:top w:w="0" w:type="dxa"/>
              <w:left w:w="62" w:type="dxa"/>
              <w:bottom w:w="0" w:type="dxa"/>
              <w:right w:w="62" w:type="dxa"/>
            </w:tcMar>
          </w:tcPr>
          <w:p w:rsidR="00000000" w:rsidP="00860B05">
            <w:pPr>
              <w:pStyle w:val="BodyText"/>
              <w:rPr>
                <w:lang w:val="en-NZ"/>
              </w:rPr>
            </w:pPr>
            <w:r w:rsidRPr="00860B05">
              <w:t xml:space="preserve">Select replacement and/or repaired parts for reassembly </w:t>
            </w:r>
          </w:p>
        </w:tc>
      </w:tr>
      <w:tr w:rsidTr="00860B05">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860B05">
            <w:pPr>
              <w:pStyle w:val="BodyText"/>
              <w:rPr>
                <w:lang w:val="en-NZ"/>
              </w:rPr>
            </w:pPr>
          </w:p>
        </w:tc>
      </w:tr>
      <w:tr w:rsidTr="00860B05">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860B05" w:rsidP="00860B05">
            <w:pPr>
              <w:pStyle w:val="BodyText"/>
            </w:pPr>
            <w:r w:rsidRPr="00860B05">
              <w:t>4</w:t>
            </w:r>
          </w:p>
        </w:tc>
        <w:tc>
          <w:tcPr>
            <w:tcW w:w="1974" w:type="dxa"/>
            <w:vMerge w:val="restart"/>
            <w:tcBorders>
              <w:top w:val="nil"/>
              <w:left w:val="nil"/>
              <w:bottom w:val="nil"/>
              <w:right w:val="nil"/>
            </w:tcBorders>
            <w:tcMar>
              <w:top w:w="0" w:type="dxa"/>
              <w:left w:w="62" w:type="dxa"/>
              <w:bottom w:w="0" w:type="dxa"/>
              <w:right w:w="62" w:type="dxa"/>
            </w:tcMar>
          </w:tcPr>
          <w:p w:rsidR="00000000" w:rsidP="00860B05">
            <w:pPr>
              <w:pStyle w:val="BodyText"/>
              <w:rPr>
                <w:lang w:val="en-NZ"/>
              </w:rPr>
            </w:pPr>
            <w:r w:rsidRPr="00860B05">
              <w:rPr>
                <w:rStyle w:val="SpecialBold"/>
              </w:rPr>
              <w:t>Assemble engineering components into assemblies or sub-assemblies</w:t>
            </w:r>
          </w:p>
        </w:tc>
        <w:tc>
          <w:tcPr>
            <w:tcW w:w="775" w:type="dxa"/>
            <w:tcBorders>
              <w:top w:val="nil"/>
              <w:left w:val="nil"/>
              <w:bottom w:val="nil"/>
              <w:right w:val="nil"/>
            </w:tcBorders>
            <w:tcMar>
              <w:top w:w="0" w:type="dxa"/>
              <w:left w:w="62" w:type="dxa"/>
              <w:bottom w:w="0" w:type="dxa"/>
              <w:right w:w="62" w:type="dxa"/>
            </w:tcMar>
          </w:tcPr>
          <w:p w:rsidR="00000000" w:rsidP="00860B05">
            <w:pPr>
              <w:pStyle w:val="BodyText"/>
              <w:rPr>
                <w:lang w:val="en-NZ"/>
              </w:rPr>
            </w:pPr>
            <w:r w:rsidRPr="00860B05">
              <w:t>4.1</w:t>
            </w:r>
          </w:p>
        </w:tc>
        <w:tc>
          <w:tcPr>
            <w:tcW w:w="5641" w:type="dxa"/>
            <w:tcBorders>
              <w:top w:val="nil"/>
              <w:left w:val="nil"/>
              <w:bottom w:val="nil"/>
              <w:right w:val="nil"/>
            </w:tcBorders>
            <w:tcMar>
              <w:top w:w="0" w:type="dxa"/>
              <w:left w:w="62" w:type="dxa"/>
              <w:bottom w:w="0" w:type="dxa"/>
              <w:right w:w="62" w:type="dxa"/>
            </w:tcMar>
          </w:tcPr>
          <w:p w:rsidR="00000000" w:rsidP="00860B05">
            <w:pPr>
              <w:pStyle w:val="BodyText"/>
              <w:rPr>
                <w:lang w:val="en-NZ"/>
              </w:rPr>
            </w:pPr>
            <w:r w:rsidRPr="00860B05">
              <w:t xml:space="preserve">Prepare, assemble and adjust components using fastening equipment and methods using appropriate tools, equipment and techniques which ensures compliance to specifications </w:t>
            </w:r>
          </w:p>
        </w:tc>
      </w:tr>
      <w:tr w:rsidTr="00860B05">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860B05">
            <w:pPr>
              <w:pStyle w:val="BodyText"/>
              <w:rPr>
                <w:lang w:val="en-NZ"/>
              </w:rPr>
            </w:pPr>
            <w:r w:rsidRPr="00860B05">
              <w:t>4.2</w:t>
            </w:r>
          </w:p>
        </w:tc>
        <w:tc>
          <w:tcPr>
            <w:tcW w:w="5641" w:type="dxa"/>
            <w:tcBorders>
              <w:top w:val="nil"/>
              <w:left w:val="nil"/>
              <w:bottom w:val="nil"/>
              <w:right w:val="nil"/>
            </w:tcBorders>
            <w:tcMar>
              <w:top w:w="0" w:type="dxa"/>
              <w:left w:w="62" w:type="dxa"/>
              <w:bottom w:w="0" w:type="dxa"/>
              <w:right w:w="62" w:type="dxa"/>
            </w:tcMar>
          </w:tcPr>
          <w:p w:rsidR="00000000" w:rsidP="00860B05">
            <w:pPr>
              <w:pStyle w:val="BodyText"/>
              <w:rPr>
                <w:lang w:val="en-NZ"/>
              </w:rPr>
            </w:pPr>
            <w:r w:rsidRPr="00860B05">
              <w:t xml:space="preserve">Select and apply lubrication, packing and sealing materials </w:t>
            </w:r>
          </w:p>
        </w:tc>
      </w:tr>
      <w:tr w:rsidTr="00860B05">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860B05">
            <w:pPr>
              <w:pStyle w:val="BodyText"/>
              <w:rPr>
                <w:lang w:val="en-NZ"/>
              </w:rPr>
            </w:pPr>
            <w:r w:rsidRPr="00860B05">
              <w:t>4.3</w:t>
            </w:r>
          </w:p>
        </w:tc>
        <w:tc>
          <w:tcPr>
            <w:tcW w:w="5641" w:type="dxa"/>
            <w:tcBorders>
              <w:top w:val="nil"/>
              <w:left w:val="nil"/>
              <w:bottom w:val="nil"/>
              <w:right w:val="nil"/>
            </w:tcBorders>
            <w:tcMar>
              <w:top w:w="0" w:type="dxa"/>
              <w:left w:w="62" w:type="dxa"/>
              <w:bottom w:w="0" w:type="dxa"/>
              <w:right w:w="62" w:type="dxa"/>
            </w:tcMar>
          </w:tcPr>
          <w:p w:rsidR="00000000" w:rsidRPr="00860B05" w:rsidP="00860B05">
            <w:pPr>
              <w:pStyle w:val="BodyText"/>
            </w:pPr>
            <w:r w:rsidRPr="00860B05">
              <w:t>Inspect, test and adjust final component assembly, as necessary, for compliance with operational specifications and return to use according to SOPs</w:t>
            </w:r>
          </w:p>
        </w:tc>
      </w:tr>
    </w:tbl>
    <w:p w:rsidR="00000000" w:rsidRPr="00860B05" w:rsidP="00860B05">
      <w:pPr>
        <w:pStyle w:val="BodyText"/>
      </w:pPr>
    </w:p>
    <w:p w:rsidR="00000000" w:rsidRPr="00860B05" w:rsidP="00860B05">
      <w:pPr>
        <w:pStyle w:val="AllowPageBreak"/>
      </w:pPr>
    </w:p>
    <w:p w:rsidR="00000000" w:rsidRPr="00860B05" w:rsidP="00860B05">
      <w:pPr>
        <w:pStyle w:val="Heading1"/>
      </w:pPr>
      <w:bookmarkStart w:id="6" w:name="O_941316"/>
      <w:bookmarkEnd w:id="6"/>
      <w:r w:rsidRPr="00860B05">
        <w:t>Foundation Skills</w:t>
      </w:r>
    </w:p>
    <w:p w:rsidR="00000000" w:rsidRPr="00860B05" w:rsidP="00A97B55">
      <w:pPr>
        <w:pStyle w:val="BodyText"/>
      </w:pPr>
      <w:r w:rsidRPr="00860B05">
        <w:t>This section describes those required skills (reading, writing, oral co</w:t>
      </w:r>
      <w:r w:rsidRPr="00860B05">
        <w:t xml:space="preserve">mmunication and numeracy) that are essential to workplace performance in this unit of competency.  </w:t>
      </w:r>
    </w:p>
    <w:p w:rsidR="00000000" w:rsidRPr="00860B05" w:rsidP="00A97B55">
      <w:pPr>
        <w:pStyle w:val="BodyText"/>
      </w:pPr>
      <w:r w:rsidRPr="00860B05">
        <w:t>Foundation skills essential to performance are explicit in the performance criteria of this unit of competency.</w:t>
      </w:r>
    </w:p>
    <w:p w:rsidR="00000000" w:rsidRPr="00860B05" w:rsidP="00860B05">
      <w:pPr>
        <w:pStyle w:val="Heading1"/>
      </w:pPr>
      <w:bookmarkStart w:id="7" w:name="O_941315"/>
      <w:bookmarkEnd w:id="7"/>
      <w:r w:rsidRPr="00860B05">
        <w:t>Range of Conditions</w:t>
      </w:r>
    </w:p>
    <w:tbl>
      <w:tblPr>
        <w:tblW w:w="0" w:type="auto"/>
        <w:tblLayout w:type="fixed"/>
        <w:tblCellMar>
          <w:left w:w="62" w:type="dxa"/>
          <w:right w:w="62" w:type="dxa"/>
        </w:tblCellMar>
        <w:tblLook w:val="0000"/>
      </w:tblPr>
      <w:tblGrid>
        <w:gridCol w:w="2641"/>
        <w:gridCol w:w="6501"/>
      </w:tblGrid>
      <w:tr w:rsidTr="00860B05">
        <w:tblPrEx>
          <w:tblW w:w="0" w:type="auto"/>
          <w:tblLayout w:type="fixed"/>
          <w:tblCellMar>
            <w:left w:w="62" w:type="dxa"/>
            <w:right w:w="62" w:type="dxa"/>
          </w:tblCellMar>
          <w:tblLook w:val="0000"/>
        </w:tblPrEx>
        <w:trPr>
          <w:tblHeader/>
        </w:trPr>
        <w:tc>
          <w:tcPr>
            <w:tcW w:w="9142" w:type="dxa"/>
            <w:gridSpan w:val="2"/>
            <w:tcBorders>
              <w:top w:val="nil"/>
              <w:left w:val="nil"/>
              <w:bottom w:val="nil"/>
              <w:right w:val="nil"/>
            </w:tcBorders>
            <w:tcMar>
              <w:top w:w="0" w:type="dxa"/>
              <w:left w:w="62" w:type="dxa"/>
              <w:bottom w:w="0" w:type="dxa"/>
              <w:right w:w="62" w:type="dxa"/>
            </w:tcMar>
          </w:tcPr>
          <w:p w:rsidR="00000000" w:rsidP="00860B05">
            <w:pPr>
              <w:pStyle w:val="BodyText"/>
              <w:rPr>
                <w:lang w:val="en-NZ"/>
              </w:rPr>
            </w:pPr>
            <w:r w:rsidRPr="00860B05">
              <w:t>This f</w:t>
            </w:r>
            <w:r w:rsidRPr="00860B05">
              <w:t xml:space="preserve">ield allows for different work environments and conditions that may affect performance. Essential operating conditions that may be present (depending on the work situation, needs of the candidate, accessibility of the item, and local industry and regional </w:t>
            </w:r>
            <w:r w:rsidRPr="00860B05">
              <w:t>contexts) are included.</w:t>
            </w:r>
          </w:p>
        </w:tc>
      </w:tr>
      <w:tr w:rsidTr="00860B05">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rsidP="00860B05">
            <w:pPr>
              <w:pStyle w:val="BodyText"/>
              <w:rPr>
                <w:lang w:val="en-NZ"/>
              </w:rPr>
            </w:pPr>
            <w:r w:rsidRPr="00860B05">
              <w:rPr>
                <w:rStyle w:val="SpecialBold"/>
              </w:rPr>
              <w:t>Engineering components include one (1) or more of the following:</w:t>
            </w:r>
            <w:r w:rsidRPr="00860B05">
              <w:t xml:space="preserve"> </w:t>
            </w:r>
          </w:p>
        </w:tc>
        <w:tc>
          <w:tcPr>
            <w:tcW w:w="6501" w:type="dxa"/>
            <w:tcBorders>
              <w:top w:val="nil"/>
              <w:left w:val="nil"/>
              <w:bottom w:val="nil"/>
              <w:right w:val="nil"/>
            </w:tcBorders>
            <w:tcMar>
              <w:top w:w="0" w:type="dxa"/>
              <w:left w:w="62" w:type="dxa"/>
              <w:bottom w:w="0" w:type="dxa"/>
              <w:right w:w="62" w:type="dxa"/>
            </w:tcMar>
          </w:tcPr>
          <w:p w:rsidR="00000000" w:rsidRPr="00860B05" w:rsidP="00860B05">
            <w:pPr>
              <w:pStyle w:val="ListBullet"/>
            </w:pPr>
            <w:r w:rsidRPr="00860B05">
              <w:t>couplings</w:t>
            </w:r>
          </w:p>
          <w:p w:rsidR="00000000" w:rsidRPr="00860B05" w:rsidP="00860B05">
            <w:pPr>
              <w:pStyle w:val="ListBullet"/>
            </w:pPr>
            <w:r w:rsidRPr="00860B05">
              <w:t>universal joints</w:t>
            </w:r>
          </w:p>
          <w:p w:rsidR="00000000" w:rsidRPr="00860B05" w:rsidP="00860B05">
            <w:pPr>
              <w:pStyle w:val="ListBullet"/>
            </w:pPr>
            <w:r w:rsidRPr="00860B05">
              <w:t>pumps employing shafts</w:t>
            </w:r>
          </w:p>
          <w:p w:rsidR="00000000" w:rsidRPr="00860B05" w:rsidP="00860B05">
            <w:pPr>
              <w:pStyle w:val="ListBullet"/>
            </w:pPr>
            <w:r w:rsidRPr="00860B05">
              <w:t>pre-manufactured bearings and seals</w:t>
            </w:r>
          </w:p>
          <w:p w:rsidR="00000000" w:rsidRPr="00860B05" w:rsidP="00860B05">
            <w:pPr>
              <w:pStyle w:val="ListBullet"/>
            </w:pPr>
            <w:r w:rsidRPr="00860B05">
              <w:t>lubricants</w:t>
            </w:r>
          </w:p>
          <w:p w:rsidR="00000000" w:rsidRPr="00860B05" w:rsidP="00860B05">
            <w:pPr>
              <w:pStyle w:val="ListBullet"/>
            </w:pPr>
            <w:r w:rsidRPr="00860B05">
              <w:t xml:space="preserve">fasteners </w:t>
            </w:r>
          </w:p>
          <w:p w:rsidR="00000000" w:rsidRPr="00860B05" w:rsidP="00860B05">
            <w:pPr>
              <w:pStyle w:val="ListBullet"/>
            </w:pPr>
            <w:r w:rsidRPr="00860B05">
              <w:t>gaskets</w:t>
            </w:r>
          </w:p>
          <w:p w:rsidR="00000000" w:rsidP="00860B05">
            <w:pPr>
              <w:pStyle w:val="BodyText"/>
              <w:rPr>
                <w:lang w:val="en-NZ"/>
              </w:rPr>
            </w:pPr>
          </w:p>
        </w:tc>
      </w:tr>
      <w:tr w:rsidTr="00860B05">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rsidP="00860B05">
            <w:pPr>
              <w:pStyle w:val="BodyText"/>
              <w:rPr>
                <w:lang w:val="en-NZ"/>
              </w:rPr>
            </w:pPr>
            <w:r w:rsidRPr="00860B05">
              <w:rPr>
                <w:rStyle w:val="SpecialBold"/>
              </w:rPr>
              <w:t>Appropriate tools and equipment include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860B05" w:rsidP="00860B05">
            <w:pPr>
              <w:pStyle w:val="ListBullet"/>
            </w:pPr>
            <w:r w:rsidRPr="00860B05">
              <w:t>a range of hand and power tools</w:t>
            </w:r>
          </w:p>
          <w:p w:rsidR="00000000" w:rsidRPr="00860B05" w:rsidP="00860B05">
            <w:pPr>
              <w:pStyle w:val="ListBullet"/>
            </w:pPr>
            <w:r w:rsidRPr="00860B05">
              <w:t>bearing pullers</w:t>
            </w:r>
          </w:p>
          <w:p w:rsidR="00000000" w:rsidRPr="00860B05" w:rsidP="00860B05">
            <w:pPr>
              <w:pStyle w:val="ListBullet"/>
            </w:pPr>
            <w:r w:rsidRPr="00860B05">
              <w:t xml:space="preserve">special purpose dismantling and assembly tools </w:t>
            </w:r>
          </w:p>
          <w:p w:rsidR="00000000" w:rsidRPr="00860B05" w:rsidP="00860B05">
            <w:pPr>
              <w:pStyle w:val="BodyText"/>
            </w:pPr>
          </w:p>
        </w:tc>
      </w:tr>
    </w:tbl>
    <w:p w:rsidR="00000000" w:rsidRPr="00860B05" w:rsidP="00860B05">
      <w:pPr>
        <w:pStyle w:val="BodyText"/>
      </w:pPr>
    </w:p>
    <w:p w:rsidR="00000000" w:rsidRPr="00860B05" w:rsidP="00860B05">
      <w:pPr>
        <w:pStyle w:val="AllowPageBreak"/>
      </w:pPr>
    </w:p>
    <w:p w:rsidR="00000000" w:rsidRPr="00860B05" w:rsidP="00860B05">
      <w:pPr>
        <w:pStyle w:val="Heading1"/>
      </w:pPr>
      <w:bookmarkStart w:id="8" w:name="O_941314"/>
      <w:bookmarkEnd w:id="8"/>
      <w:r w:rsidRPr="00860B05">
        <w:t>Unit Mapping Information</w:t>
      </w:r>
    </w:p>
    <w:p w:rsidR="00000000" w:rsidRPr="00860B05" w:rsidP="00A97B55">
      <w:pPr>
        <w:pStyle w:val="BodyText"/>
      </w:pPr>
      <w:r w:rsidRPr="00860B05">
        <w:t xml:space="preserve">Release 1. Supersedes and is equivalent </w:t>
      </w:r>
      <w:r w:rsidRPr="00860B05">
        <w:t xml:space="preserve">to MEM18055B Dismantle, replace and assemble engineering components </w:t>
      </w:r>
    </w:p>
    <w:p w:rsidR="00000000" w:rsidRPr="00860B05" w:rsidP="00860B05">
      <w:pPr>
        <w:pStyle w:val="Heading1"/>
      </w:pPr>
      <w:bookmarkStart w:id="9" w:name="O_941307"/>
      <w:bookmarkEnd w:id="9"/>
      <w:r w:rsidRPr="00860B05">
        <w:t>Links</w:t>
      </w:r>
    </w:p>
    <w:p w:rsidR="00000000" w:rsidRPr="00860B05" w:rsidP="00A97B55">
      <w:pPr>
        <w:pStyle w:val="BodyText"/>
      </w:pPr>
      <w:r w:rsidRPr="00860B05">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BB3A80">
        <w:rPr>
          <w:rStyle w:val="Hyperlink"/>
        </w:rPr>
        <w:t>https://vetnet.gov.au/Pages/TrainingDocs.aspx?q=b7050d37-5fd0-4740-8f7d-3b7a49c10bb2</w:t>
      </w:r>
      <w:r>
        <w:fldChar w:fldCharType="end"/>
      </w:r>
    </w:p>
    <w:p w:rsidR="00000000" w:rsidRPr="00860B05" w:rsidP="00860B05"/>
    <w:sectPr w:rsidSect="00860B0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B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B05" w:rsidRPr="00A97B55" w:rsidP="00A97B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B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B55" w:rsidP="00860B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97B55" w:rsidP="00860B0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A97B55" w:rsidP="00860B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B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B5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60B05" w:rsidRPr="00A97B55" w:rsidP="00A97B5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B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B55" w:rsidRPr="002D2AF8" w:rsidP="00860B05">
    <w:pPr>
      <w:pStyle w:val="Header"/>
      <w:framePr w:wrap="around"/>
    </w:pPr>
    <w:r>
      <w:fldChar w:fldCharType="begin"/>
    </w:r>
    <w:r>
      <w:instrText xml:space="preserve"> TITLE   \* MERGEFORMAT </w:instrText>
    </w:r>
    <w:r>
      <w:fldChar w:fldCharType="separate"/>
    </w:r>
    <w:r>
      <w:t>MEM18055 Dismantle, replace and assemble engineering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September 2024</w:t>
    </w:r>
    <w:r>
      <w:fldChar w:fldCharType="end"/>
    </w:r>
  </w:p>
  <w:p w:rsidR="00A97B55" w:rsidP="00860B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01C6BB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C58F10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0B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60B05"/>
    <w:pPr>
      <w:spacing w:before="360" w:after="60"/>
      <w:outlineLvl w:val="0"/>
    </w:pPr>
    <w:rPr>
      <w:sz w:val="32"/>
    </w:rPr>
  </w:style>
  <w:style w:type="paragraph" w:styleId="Heading2">
    <w:name w:val="heading 2"/>
    <w:basedOn w:val="HeadingBase"/>
    <w:next w:val="BodyText"/>
    <w:link w:val="Heading2Char"/>
    <w:qFormat/>
    <w:rsid w:val="00860B05"/>
    <w:pPr>
      <w:keepLines/>
      <w:spacing w:before="240" w:after="120"/>
      <w:outlineLvl w:val="1"/>
    </w:pPr>
    <w:rPr>
      <w:sz w:val="28"/>
      <w:szCs w:val="40"/>
    </w:rPr>
  </w:style>
  <w:style w:type="paragraph" w:styleId="Heading3">
    <w:name w:val="heading 3"/>
    <w:basedOn w:val="HeadingBase"/>
    <w:next w:val="BodyText"/>
    <w:link w:val="Heading3Char"/>
    <w:qFormat/>
    <w:rsid w:val="00860B05"/>
    <w:pPr>
      <w:spacing w:before="180" w:after="120"/>
      <w:outlineLvl w:val="2"/>
    </w:pPr>
    <w:rPr>
      <w:spacing w:val="-10"/>
      <w:kern w:val="32"/>
    </w:rPr>
  </w:style>
  <w:style w:type="paragraph" w:styleId="Heading4">
    <w:name w:val="heading 4"/>
    <w:basedOn w:val="HeadingBase"/>
    <w:next w:val="BodyText"/>
    <w:link w:val="Heading4Char"/>
    <w:qFormat/>
    <w:rsid w:val="00860B05"/>
    <w:pPr>
      <w:spacing w:before="160" w:after="120"/>
      <w:outlineLvl w:val="3"/>
    </w:pPr>
    <w:rPr>
      <w:sz w:val="22"/>
    </w:rPr>
  </w:style>
  <w:style w:type="paragraph" w:styleId="Heading5">
    <w:name w:val="heading 5"/>
    <w:basedOn w:val="HeadingBase"/>
    <w:next w:val="Normal"/>
    <w:link w:val="Heading5Char"/>
    <w:qFormat/>
    <w:rsid w:val="00860B05"/>
    <w:pPr>
      <w:spacing w:before="80"/>
      <w:outlineLvl w:val="4"/>
    </w:pPr>
    <w:rPr>
      <w:color w:val="918585"/>
      <w:sz w:val="20"/>
    </w:rPr>
  </w:style>
  <w:style w:type="paragraph" w:styleId="Heading6">
    <w:name w:val="heading 6"/>
    <w:basedOn w:val="HeadingBase"/>
    <w:next w:val="Normal"/>
    <w:link w:val="Heading6Char"/>
    <w:qFormat/>
    <w:rsid w:val="00860B05"/>
    <w:pPr>
      <w:spacing w:before="60"/>
      <w:outlineLvl w:val="5"/>
    </w:pPr>
    <w:rPr>
      <w:color w:val="918585"/>
      <w:sz w:val="20"/>
    </w:rPr>
  </w:style>
  <w:style w:type="paragraph" w:styleId="Heading7">
    <w:name w:val="heading 7"/>
    <w:basedOn w:val="Normal"/>
    <w:next w:val="Normal"/>
    <w:link w:val="Heading7Char"/>
    <w:qFormat/>
    <w:rsid w:val="00860B05"/>
    <w:pPr>
      <w:ind w:left="720"/>
      <w:outlineLvl w:val="6"/>
    </w:pPr>
    <w:rPr>
      <w:i/>
    </w:rPr>
  </w:style>
  <w:style w:type="paragraph" w:styleId="Heading8">
    <w:name w:val="heading 8"/>
    <w:basedOn w:val="Normal"/>
    <w:next w:val="Normal"/>
    <w:link w:val="Heading8Char"/>
    <w:qFormat/>
    <w:rsid w:val="00860B05"/>
    <w:pPr>
      <w:ind w:left="720"/>
      <w:outlineLvl w:val="7"/>
    </w:pPr>
    <w:rPr>
      <w:i/>
    </w:rPr>
  </w:style>
  <w:style w:type="paragraph" w:styleId="Heading9">
    <w:name w:val="heading 9"/>
    <w:basedOn w:val="Normal"/>
    <w:next w:val="Normal"/>
    <w:link w:val="Heading9Char"/>
    <w:qFormat/>
    <w:rsid w:val="00860B05"/>
    <w:pPr>
      <w:ind w:left="720"/>
      <w:outlineLvl w:val="8"/>
    </w:pPr>
    <w:rPr>
      <w:i/>
    </w:rPr>
  </w:style>
  <w:style w:type="character" w:default="1" w:styleId="DefaultParagraphFont">
    <w:name w:val="Default Paragraph Font"/>
    <w:uiPriority w:val="1"/>
    <w:unhideWhenUsed/>
    <w:rsid w:val="00860B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0B05"/>
  </w:style>
  <w:style w:type="character" w:customStyle="1" w:styleId="Heading1Char">
    <w:name w:val="Heading 1 Char"/>
    <w:basedOn w:val="DefaultParagraphFont"/>
    <w:link w:val="Heading1"/>
    <w:rsid w:val="00860B05"/>
    <w:rPr>
      <w:rFonts w:ascii="Times New Roman" w:eastAsia="Times New Roman" w:hAnsi="Times New Roman" w:cs="Times New Roman"/>
      <w:b/>
      <w:sz w:val="32"/>
      <w:szCs w:val="20"/>
      <w:lang w:eastAsia="en-US"/>
    </w:rPr>
  </w:style>
  <w:style w:type="paragraph" w:styleId="BodyText">
    <w:name w:val="Body Text"/>
    <w:basedOn w:val="Normal"/>
    <w:link w:val="BodyTextChar"/>
    <w:rsid w:val="00860B0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60B05"/>
    <w:rPr>
      <w:rFonts w:ascii="Times New Roman" w:eastAsia="Times New Roman" w:hAnsi="Times New Roman" w:cs="Times New Roman"/>
      <w:sz w:val="24"/>
      <w:lang w:eastAsia="en-US"/>
    </w:rPr>
  </w:style>
  <w:style w:type="paragraph" w:styleId="ListBullet">
    <w:name w:val="List Bullet"/>
    <w:basedOn w:val="List"/>
    <w:rsid w:val="00860B05"/>
    <w:pPr>
      <w:numPr>
        <w:numId w:val="11"/>
      </w:numPr>
      <w:tabs>
        <w:tab w:val="clear" w:pos="340"/>
      </w:tabs>
      <w:spacing w:before="40" w:after="40"/>
    </w:pPr>
  </w:style>
  <w:style w:type="character" w:customStyle="1" w:styleId="SpecialBold">
    <w:name w:val="Special Bold"/>
    <w:basedOn w:val="DefaultParagraphFont"/>
    <w:rsid w:val="00860B05"/>
    <w:rPr>
      <w:b/>
      <w:spacing w:val="0"/>
    </w:rPr>
  </w:style>
  <w:style w:type="paragraph" w:customStyle="1" w:styleId="SuperHeading">
    <w:name w:val="SuperHeading"/>
    <w:basedOn w:val="Normal"/>
    <w:rsid w:val="00860B05"/>
    <w:pPr>
      <w:spacing w:before="240" w:after="120"/>
      <w:outlineLvl w:val="0"/>
    </w:pPr>
    <w:rPr>
      <w:rFonts w:ascii="Times New Roman" w:hAnsi="Times New Roman"/>
      <w:b/>
      <w:sz w:val="32"/>
    </w:rPr>
  </w:style>
  <w:style w:type="paragraph" w:customStyle="1" w:styleId="AllowPageBreak">
    <w:name w:val="AllowPageBreak"/>
    <w:rsid w:val="00860B0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60B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0B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0B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0B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0B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0B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60B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60B05"/>
    <w:rPr>
      <w:rFonts w:ascii="Courier New" w:eastAsia="Times New Roman" w:hAnsi="Courier New" w:cs="Times New Roman"/>
      <w:i/>
      <w:szCs w:val="20"/>
      <w:lang w:eastAsia="en-US"/>
    </w:rPr>
  </w:style>
  <w:style w:type="paragraph" w:customStyle="1" w:styleId="HeadingBase">
    <w:name w:val="Heading Base"/>
    <w:rsid w:val="00860B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0B05"/>
    <w:pPr>
      <w:tabs>
        <w:tab w:val="right" w:leader="dot" w:pos="9072"/>
      </w:tabs>
      <w:ind w:left="567"/>
    </w:pPr>
    <w:rPr>
      <w:szCs w:val="22"/>
    </w:rPr>
  </w:style>
  <w:style w:type="paragraph" w:customStyle="1" w:styleId="TOCBase">
    <w:name w:val="TOC Base"/>
    <w:rsid w:val="00860B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0B05"/>
    <w:pPr>
      <w:tabs>
        <w:tab w:val="right" w:leader="dot" w:pos="9072"/>
      </w:tabs>
      <w:spacing w:before="40" w:after="40"/>
      <w:ind w:left="284"/>
    </w:pPr>
    <w:rPr>
      <w:rFonts w:ascii="Times New Roman" w:hAnsi="Times New Roman"/>
    </w:rPr>
  </w:style>
  <w:style w:type="paragraph" w:styleId="TOC1">
    <w:name w:val="toc 1"/>
    <w:basedOn w:val="TOCBase"/>
    <w:next w:val="Normal"/>
    <w:rsid w:val="00860B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60B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0B05"/>
    <w:rPr>
      <w:rFonts w:ascii="Times New Roman" w:eastAsia="Times New Roman" w:hAnsi="Times New Roman" w:cs="Times New Roman"/>
      <w:sz w:val="16"/>
      <w:lang w:eastAsia="en-US"/>
    </w:rPr>
  </w:style>
  <w:style w:type="paragraph" w:styleId="Title">
    <w:name w:val="Title"/>
    <w:basedOn w:val="HeadingBase"/>
    <w:link w:val="TitleChar"/>
    <w:qFormat/>
    <w:rsid w:val="00860B05"/>
    <w:pPr>
      <w:spacing w:before="5040"/>
      <w:jc w:val="center"/>
    </w:pPr>
    <w:rPr>
      <w:sz w:val="48"/>
      <w:szCs w:val="72"/>
      <w:lang w:val="en-US"/>
    </w:rPr>
  </w:style>
  <w:style w:type="character" w:customStyle="1" w:styleId="TitleChar">
    <w:name w:val="Title Char"/>
    <w:basedOn w:val="DefaultParagraphFont"/>
    <w:link w:val="Title"/>
    <w:rsid w:val="00860B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0B05"/>
    <w:pPr>
      <w:tabs>
        <w:tab w:val="left" w:pos="3600"/>
        <w:tab w:val="left" w:pos="3958"/>
      </w:tabs>
    </w:pPr>
  </w:style>
  <w:style w:type="paragraph" w:styleId="List">
    <w:name w:val="List"/>
    <w:basedOn w:val="BodyText"/>
    <w:next w:val="BodyText"/>
    <w:rsid w:val="00860B05"/>
    <w:pPr>
      <w:tabs>
        <w:tab w:val="left" w:pos="340"/>
      </w:tabs>
      <w:spacing w:before="60" w:after="60"/>
      <w:ind w:left="340" w:hanging="340"/>
    </w:pPr>
  </w:style>
  <w:style w:type="paragraph" w:customStyle="1" w:styleId="Note">
    <w:name w:val="Note"/>
    <w:basedOn w:val="BodyText"/>
    <w:rsid w:val="00860B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60B05"/>
    <w:pPr>
      <w:framePr w:wrap="auto" w:hAnchor="text" w:y="6049"/>
    </w:pPr>
    <w:rPr>
      <w:color w:val="000000"/>
      <w:sz w:val="40"/>
    </w:rPr>
  </w:style>
  <w:style w:type="paragraph" w:customStyle="1" w:styleId="TOCTitle">
    <w:name w:val="TOCTitle"/>
    <w:basedOn w:val="Heading1"/>
    <w:rsid w:val="00860B05"/>
    <w:pPr>
      <w:spacing w:after="240"/>
      <w:jc w:val="center"/>
      <w:outlineLvl w:val="9"/>
    </w:pPr>
    <w:rPr>
      <w:caps/>
    </w:rPr>
  </w:style>
  <w:style w:type="paragraph" w:customStyle="1" w:styleId="Version">
    <w:name w:val="Version"/>
    <w:rsid w:val="00860B0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60B05"/>
    <w:pPr>
      <w:numPr>
        <w:numId w:val="12"/>
      </w:numPr>
      <w:tabs>
        <w:tab w:val="clear" w:pos="680"/>
      </w:tabs>
    </w:pPr>
  </w:style>
  <w:style w:type="paragraph" w:styleId="Index1">
    <w:name w:val="index 1"/>
    <w:basedOn w:val="Normal"/>
    <w:next w:val="Normal"/>
    <w:semiHidden/>
    <w:rsid w:val="00860B05"/>
    <w:pPr>
      <w:keepNext w:val="0"/>
      <w:tabs>
        <w:tab w:val="right" w:pos="4176"/>
      </w:tabs>
      <w:ind w:left="198" w:hanging="198"/>
    </w:pPr>
    <w:rPr>
      <w:rFonts w:ascii="Garamond" w:hAnsi="Garamond"/>
    </w:rPr>
  </w:style>
  <w:style w:type="paragraph" w:styleId="IndexHeading">
    <w:name w:val="index heading"/>
    <w:basedOn w:val="Normal"/>
    <w:next w:val="Index1"/>
    <w:semiHidden/>
    <w:rsid w:val="00860B05"/>
    <w:pPr>
      <w:spacing w:before="120" w:after="120"/>
    </w:pPr>
    <w:rPr>
      <w:rFonts w:ascii="Arial" w:hAnsi="Arial"/>
      <w:b/>
      <w:color w:val="918585"/>
      <w:sz w:val="24"/>
    </w:rPr>
  </w:style>
  <w:style w:type="paragraph" w:styleId="Header">
    <w:name w:val="header"/>
    <w:basedOn w:val="Normal"/>
    <w:link w:val="HeaderChar"/>
    <w:rsid w:val="00860B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0B05"/>
    <w:rPr>
      <w:rFonts w:ascii="Times New Roman" w:eastAsia="Times New Roman" w:hAnsi="Times New Roman" w:cs="Times New Roman"/>
      <w:sz w:val="16"/>
      <w:szCs w:val="20"/>
      <w:lang w:val="en-GB" w:eastAsia="en-US"/>
    </w:rPr>
  </w:style>
  <w:style w:type="paragraph" w:customStyle="1" w:styleId="Chapter">
    <w:name w:val="Chapter"/>
    <w:basedOn w:val="Normal"/>
    <w:rsid w:val="00860B05"/>
    <w:pPr>
      <w:spacing w:before="240"/>
    </w:pPr>
    <w:rPr>
      <w:rFonts w:ascii="Times New Roman" w:hAnsi="Times New Roman"/>
      <w:smallCaps/>
      <w:spacing w:val="80"/>
      <w:sz w:val="28"/>
    </w:rPr>
  </w:style>
  <w:style w:type="paragraph" w:customStyle="1" w:styleId="InChapter">
    <w:name w:val="InChapter"/>
    <w:basedOn w:val="Heading3"/>
    <w:rsid w:val="00860B05"/>
    <w:pPr>
      <w:spacing w:after="240"/>
      <w:outlineLvl w:val="9"/>
    </w:pPr>
    <w:rPr>
      <w:noProof/>
    </w:rPr>
  </w:style>
  <w:style w:type="paragraph" w:styleId="Index2">
    <w:name w:val="index 2"/>
    <w:basedOn w:val="Normal"/>
    <w:next w:val="Normal"/>
    <w:semiHidden/>
    <w:rsid w:val="00860B05"/>
    <w:pPr>
      <w:tabs>
        <w:tab w:val="right" w:pos="4176"/>
      </w:tabs>
      <w:ind w:left="568" w:hanging="284"/>
    </w:pPr>
    <w:rPr>
      <w:rFonts w:ascii="Garamond" w:hAnsi="Garamond"/>
    </w:rPr>
  </w:style>
  <w:style w:type="paragraph" w:customStyle="1" w:styleId="Byline">
    <w:name w:val="Byline"/>
    <w:rsid w:val="00860B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0B05"/>
    <w:pPr>
      <w:tabs>
        <w:tab w:val="clear" w:pos="3600"/>
        <w:tab w:val="clear" w:pos="3958"/>
      </w:tabs>
      <w:jc w:val="right"/>
    </w:pPr>
  </w:style>
  <w:style w:type="character" w:styleId="Emphasis">
    <w:name w:val="Emphasis"/>
    <w:basedOn w:val="DefaultParagraphFont"/>
    <w:qFormat/>
    <w:rsid w:val="00860B05"/>
    <w:rPr>
      <w:i/>
    </w:rPr>
  </w:style>
  <w:style w:type="paragraph" w:styleId="Caption">
    <w:name w:val="caption"/>
    <w:basedOn w:val="BodyText"/>
    <w:next w:val="Normal"/>
    <w:qFormat/>
    <w:rsid w:val="00860B05"/>
    <w:pPr>
      <w:framePr w:w="2268" w:hSpace="181" w:vSpace="181" w:wrap="around" w:vAnchor="text" w:hAnchor="page" w:x="1135" w:y="285" w:anchorLock="1"/>
    </w:pPr>
    <w:rPr>
      <w:i/>
    </w:rPr>
  </w:style>
  <w:style w:type="paragraph" w:customStyle="1" w:styleId="MiniTOCTitle">
    <w:name w:val="MiniTOCTitle"/>
    <w:basedOn w:val="Heading4"/>
    <w:rsid w:val="00860B05"/>
    <w:pPr>
      <w:spacing w:before="240"/>
      <w:outlineLvl w:val="9"/>
    </w:pPr>
    <w:rPr>
      <w:noProof/>
      <w:sz w:val="24"/>
    </w:rPr>
  </w:style>
  <w:style w:type="paragraph" w:customStyle="1" w:styleId="MiniTOCItem">
    <w:name w:val="MiniTOCItem"/>
    <w:basedOn w:val="ListBullet"/>
    <w:rsid w:val="00860B05"/>
    <w:pPr>
      <w:numPr>
        <w:numId w:val="0"/>
      </w:numPr>
      <w:tabs>
        <w:tab w:val="right" w:leader="dot" w:pos="6521"/>
      </w:tabs>
      <w:spacing w:before="0" w:after="0"/>
    </w:pPr>
  </w:style>
  <w:style w:type="paragraph" w:customStyle="1" w:styleId="TOFTitle">
    <w:name w:val="TOFTitle"/>
    <w:basedOn w:val="TOCTitle"/>
    <w:rsid w:val="00860B05"/>
  </w:style>
  <w:style w:type="paragraph" w:styleId="TableofFigures">
    <w:name w:val="table of figures"/>
    <w:basedOn w:val="Normal"/>
    <w:next w:val="Normal"/>
    <w:semiHidden/>
    <w:rsid w:val="00860B05"/>
    <w:pPr>
      <w:tabs>
        <w:tab w:val="right" w:leader="dot" w:pos="9072"/>
      </w:tabs>
      <w:ind w:left="970" w:hanging="403"/>
    </w:pPr>
    <w:rPr>
      <w:rFonts w:ascii="Times New Roman" w:hAnsi="Times New Roman"/>
      <w:b/>
    </w:rPr>
  </w:style>
  <w:style w:type="paragraph" w:styleId="ListNumber">
    <w:name w:val="List Number"/>
    <w:basedOn w:val="List"/>
    <w:rsid w:val="00860B05"/>
    <w:pPr>
      <w:numPr>
        <w:numId w:val="14"/>
      </w:numPr>
      <w:tabs>
        <w:tab w:val="clear" w:pos="340"/>
      </w:tabs>
    </w:pPr>
  </w:style>
  <w:style w:type="character" w:customStyle="1" w:styleId="WingdingSymbols">
    <w:name w:val="Wingding Symbols"/>
    <w:rsid w:val="00860B05"/>
    <w:rPr>
      <w:rFonts w:ascii="Wingdings" w:hAnsi="Wingdings"/>
    </w:rPr>
  </w:style>
  <w:style w:type="paragraph" w:customStyle="1" w:styleId="TableHeading">
    <w:name w:val="Table Heading"/>
    <w:basedOn w:val="HeadingBase"/>
    <w:rsid w:val="00860B05"/>
    <w:pPr>
      <w:keepLines/>
      <w:pBdr>
        <w:bottom w:val="single" w:sz="6" w:space="1" w:color="918585"/>
      </w:pBdr>
      <w:spacing w:before="240"/>
    </w:pPr>
  </w:style>
  <w:style w:type="character" w:customStyle="1" w:styleId="HotSpot">
    <w:name w:val="HotSpot"/>
    <w:rsid w:val="00860B05"/>
    <w:rPr>
      <w:color w:val="0033CC"/>
      <w:u w:val="none"/>
    </w:rPr>
  </w:style>
  <w:style w:type="paragraph" w:customStyle="1" w:styleId="BodyTextRight">
    <w:name w:val="Body Text Right"/>
    <w:basedOn w:val="BodyText"/>
    <w:rsid w:val="00860B05"/>
    <w:pPr>
      <w:spacing w:before="0" w:after="0"/>
      <w:jc w:val="right"/>
    </w:pPr>
  </w:style>
  <w:style w:type="paragraph" w:styleId="Index3">
    <w:name w:val="index 3"/>
    <w:basedOn w:val="ListNumber2"/>
    <w:next w:val="Normal"/>
    <w:semiHidden/>
    <w:rsid w:val="00860B05"/>
    <w:pPr>
      <w:numPr>
        <w:numId w:val="0"/>
      </w:numPr>
      <w:tabs>
        <w:tab w:val="right" w:leader="dot" w:pos="4176"/>
      </w:tabs>
    </w:pPr>
  </w:style>
  <w:style w:type="paragraph" w:styleId="ListNumber2">
    <w:name w:val="List Number 2"/>
    <w:basedOn w:val="List2"/>
    <w:rsid w:val="00860B05"/>
    <w:pPr>
      <w:numPr>
        <w:numId w:val="9"/>
      </w:numPr>
      <w:tabs>
        <w:tab w:val="clear" w:pos="1060"/>
      </w:tabs>
    </w:pPr>
  </w:style>
  <w:style w:type="paragraph" w:customStyle="1" w:styleId="MarginNote">
    <w:name w:val="Margin Note"/>
    <w:basedOn w:val="BodyText"/>
    <w:rsid w:val="00860B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0B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0B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60B05"/>
    <w:rPr>
      <w:sz w:val="32"/>
    </w:rPr>
  </w:style>
  <w:style w:type="paragraph" w:customStyle="1" w:styleId="HeadingProcedure">
    <w:name w:val="Heading Procedure"/>
    <w:basedOn w:val="HeadingBase"/>
    <w:next w:val="Normal"/>
    <w:rsid w:val="00860B05"/>
    <w:pPr>
      <w:tabs>
        <w:tab w:val="left" w:pos="0"/>
      </w:tabs>
      <w:spacing w:before="120" w:after="60"/>
    </w:pPr>
    <w:rPr>
      <w:i/>
      <w:color w:val="918585"/>
      <w:sz w:val="22"/>
    </w:rPr>
  </w:style>
  <w:style w:type="paragraph" w:customStyle="1" w:styleId="TableBodyText">
    <w:name w:val="Table Body Text"/>
    <w:basedOn w:val="BodyText"/>
    <w:rsid w:val="00860B05"/>
    <w:pPr>
      <w:spacing w:before="60" w:after="60"/>
    </w:pPr>
  </w:style>
  <w:style w:type="paragraph" w:styleId="ListContinue">
    <w:name w:val="List Continue"/>
    <w:basedOn w:val="List"/>
    <w:rsid w:val="00860B05"/>
    <w:pPr>
      <w:ind w:firstLine="0"/>
    </w:pPr>
  </w:style>
  <w:style w:type="paragraph" w:customStyle="1" w:styleId="ListNote">
    <w:name w:val="List Note"/>
    <w:basedOn w:val="List"/>
    <w:rsid w:val="00860B05"/>
    <w:pPr>
      <w:pBdr>
        <w:top w:val="single" w:sz="6" w:space="2" w:color="918585"/>
        <w:bottom w:val="single" w:sz="6" w:space="2" w:color="918585"/>
      </w:pBdr>
      <w:tabs>
        <w:tab w:val="left" w:pos="1021"/>
      </w:tabs>
      <w:ind w:firstLine="0"/>
    </w:pPr>
  </w:style>
  <w:style w:type="paragraph" w:customStyle="1" w:styleId="Warning">
    <w:name w:val="Warning"/>
    <w:basedOn w:val="BodyText"/>
    <w:rsid w:val="00860B05"/>
    <w:pPr>
      <w:shd w:val="clear" w:color="auto" w:fill="D9D9D9"/>
      <w:tabs>
        <w:tab w:val="left" w:pos="992"/>
      </w:tabs>
      <w:ind w:left="119" w:right="119"/>
    </w:pPr>
    <w:rPr>
      <w:sz w:val="20"/>
    </w:rPr>
  </w:style>
  <w:style w:type="paragraph" w:customStyle="1" w:styleId="MarginIcons">
    <w:name w:val="Margin Icons"/>
    <w:basedOn w:val="BodyText"/>
    <w:rsid w:val="00860B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0B05"/>
    <w:rPr>
      <w:rFonts w:ascii="Courier New" w:hAnsi="Courier New"/>
    </w:rPr>
  </w:style>
  <w:style w:type="paragraph" w:customStyle="1" w:styleId="NoteBullet">
    <w:name w:val="Note Bullet"/>
    <w:basedOn w:val="Note"/>
    <w:rsid w:val="00860B05"/>
    <w:pPr>
      <w:tabs>
        <w:tab w:val="clear" w:pos="680"/>
      </w:tabs>
      <w:spacing w:before="60" w:after="60"/>
    </w:pPr>
  </w:style>
  <w:style w:type="paragraph" w:customStyle="1" w:styleId="SubHeading2">
    <w:name w:val="SubHeading2"/>
    <w:basedOn w:val="HeadingBase"/>
    <w:rsid w:val="00860B05"/>
    <w:pPr>
      <w:spacing w:before="240" w:after="60"/>
    </w:pPr>
    <w:rPr>
      <w:sz w:val="20"/>
    </w:rPr>
  </w:style>
  <w:style w:type="paragraph" w:customStyle="1" w:styleId="SubHeading1">
    <w:name w:val="SubHeading1"/>
    <w:basedOn w:val="HeadingBase"/>
    <w:rsid w:val="00860B05"/>
    <w:pPr>
      <w:spacing w:before="240" w:after="60"/>
    </w:pPr>
    <w:rPr>
      <w:color w:val="918585"/>
      <w:sz w:val="22"/>
    </w:rPr>
  </w:style>
  <w:style w:type="paragraph" w:customStyle="1" w:styleId="SideHeading">
    <w:name w:val="Side Heading"/>
    <w:basedOn w:val="HeadingBase"/>
    <w:rsid w:val="00860B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0B05"/>
    <w:pPr>
      <w:numPr>
        <w:numId w:val="10"/>
      </w:numPr>
    </w:pPr>
  </w:style>
  <w:style w:type="paragraph" w:styleId="PlainText">
    <w:name w:val="Plain Text"/>
    <w:basedOn w:val="Normal"/>
    <w:link w:val="PlainTextChar"/>
    <w:rsid w:val="00860B05"/>
    <w:rPr>
      <w:sz w:val="20"/>
    </w:rPr>
  </w:style>
  <w:style w:type="character" w:customStyle="1" w:styleId="PlainTextChar">
    <w:name w:val="Plain Text Char"/>
    <w:basedOn w:val="DefaultParagraphFont"/>
    <w:link w:val="PlainText"/>
    <w:rsid w:val="00860B05"/>
    <w:rPr>
      <w:rFonts w:ascii="Courier New" w:eastAsia="Times New Roman" w:hAnsi="Courier New" w:cs="Times New Roman"/>
      <w:sz w:val="20"/>
      <w:szCs w:val="20"/>
      <w:lang w:eastAsia="en-US"/>
    </w:rPr>
  </w:style>
  <w:style w:type="character" w:customStyle="1" w:styleId="MenuOption">
    <w:name w:val="Menu Option"/>
    <w:basedOn w:val="DefaultParagraphFont"/>
    <w:rsid w:val="00860B05"/>
    <w:rPr>
      <w:b/>
      <w:smallCaps/>
    </w:rPr>
  </w:style>
  <w:style w:type="paragraph" w:customStyle="1" w:styleId="TableListNumber">
    <w:name w:val="Table List Number"/>
    <w:basedOn w:val="ListNumber"/>
    <w:rsid w:val="00860B05"/>
    <w:pPr>
      <w:numPr>
        <w:numId w:val="0"/>
      </w:numPr>
    </w:pPr>
  </w:style>
  <w:style w:type="paragraph" w:styleId="TOC4">
    <w:name w:val="toc 4"/>
    <w:basedOn w:val="TOCBase"/>
    <w:next w:val="Normal"/>
    <w:semiHidden/>
    <w:rsid w:val="00860B05"/>
    <w:pPr>
      <w:tabs>
        <w:tab w:val="right" w:leader="dot" w:pos="9071"/>
      </w:tabs>
      <w:ind w:left="1701"/>
    </w:pPr>
  </w:style>
  <w:style w:type="paragraph" w:customStyle="1" w:styleId="ListAlpha">
    <w:name w:val="List Alpha"/>
    <w:basedOn w:val="List"/>
    <w:rsid w:val="00860B05"/>
    <w:pPr>
      <w:numPr>
        <w:numId w:val="8"/>
      </w:numPr>
    </w:pPr>
  </w:style>
  <w:style w:type="paragraph" w:customStyle="1" w:styleId="ListAlpha2">
    <w:name w:val="List Alpha 2"/>
    <w:basedOn w:val="List2"/>
    <w:rsid w:val="00860B05"/>
    <w:pPr>
      <w:numPr>
        <w:numId w:val="7"/>
      </w:numPr>
    </w:pPr>
  </w:style>
  <w:style w:type="paragraph" w:styleId="List2">
    <w:name w:val="List 2"/>
    <w:basedOn w:val="BodyText"/>
    <w:rsid w:val="00860B05"/>
    <w:pPr>
      <w:tabs>
        <w:tab w:val="left" w:pos="680"/>
      </w:tabs>
      <w:spacing w:before="60" w:after="60"/>
      <w:ind w:left="680" w:hanging="340"/>
    </w:pPr>
  </w:style>
  <w:style w:type="paragraph" w:styleId="List3">
    <w:name w:val="List 3"/>
    <w:basedOn w:val="BodyText"/>
    <w:rsid w:val="00860B05"/>
    <w:pPr>
      <w:tabs>
        <w:tab w:val="left" w:pos="1021"/>
      </w:tabs>
      <w:spacing w:before="60" w:after="60"/>
      <w:ind w:left="1020" w:hanging="340"/>
    </w:pPr>
  </w:style>
  <w:style w:type="paragraph" w:styleId="List4">
    <w:name w:val="List 4"/>
    <w:basedOn w:val="BodyText"/>
    <w:rsid w:val="00860B05"/>
    <w:pPr>
      <w:tabs>
        <w:tab w:val="left" w:pos="1361"/>
      </w:tabs>
      <w:spacing w:before="60" w:after="60"/>
      <w:ind w:left="1361" w:hanging="340"/>
    </w:pPr>
  </w:style>
  <w:style w:type="paragraph" w:styleId="List5">
    <w:name w:val="List 5"/>
    <w:basedOn w:val="BodyText"/>
    <w:rsid w:val="00860B05"/>
    <w:pPr>
      <w:tabs>
        <w:tab w:val="left" w:pos="1701"/>
      </w:tabs>
      <w:spacing w:before="60" w:after="60"/>
      <w:ind w:left="1701" w:hanging="340"/>
    </w:pPr>
  </w:style>
  <w:style w:type="paragraph" w:styleId="ListBullet3">
    <w:name w:val="List Bullet 3"/>
    <w:basedOn w:val="List3"/>
    <w:rsid w:val="00860B05"/>
    <w:pPr>
      <w:numPr>
        <w:numId w:val="13"/>
      </w:numPr>
      <w:tabs>
        <w:tab w:val="clear" w:pos="1021"/>
      </w:tabs>
      <w:ind w:left="1037" w:hanging="357"/>
    </w:pPr>
  </w:style>
  <w:style w:type="paragraph" w:styleId="ListBullet4">
    <w:name w:val="List Bullet 4"/>
    <w:basedOn w:val="List4"/>
    <w:rsid w:val="00860B05"/>
    <w:pPr>
      <w:numPr>
        <w:numId w:val="2"/>
      </w:numPr>
      <w:tabs>
        <w:tab w:val="clear" w:pos="1361"/>
      </w:tabs>
    </w:pPr>
  </w:style>
  <w:style w:type="paragraph" w:styleId="ListBullet5">
    <w:name w:val="List Bullet 5"/>
    <w:basedOn w:val="List5"/>
    <w:rsid w:val="00860B05"/>
    <w:pPr>
      <w:numPr>
        <w:numId w:val="3"/>
      </w:numPr>
    </w:pPr>
  </w:style>
  <w:style w:type="paragraph" w:styleId="ListContinue2">
    <w:name w:val="List Continue 2"/>
    <w:basedOn w:val="List2"/>
    <w:rsid w:val="00860B05"/>
    <w:pPr>
      <w:ind w:firstLine="0"/>
    </w:pPr>
  </w:style>
  <w:style w:type="paragraph" w:styleId="ListContinue3">
    <w:name w:val="List Continue 3"/>
    <w:basedOn w:val="List3"/>
    <w:rsid w:val="00860B05"/>
    <w:pPr>
      <w:ind w:left="1021" w:firstLine="0"/>
    </w:pPr>
  </w:style>
  <w:style w:type="paragraph" w:styleId="ListContinue4">
    <w:name w:val="List Continue 4"/>
    <w:basedOn w:val="List4"/>
    <w:rsid w:val="00860B05"/>
    <w:pPr>
      <w:ind w:firstLine="0"/>
    </w:pPr>
  </w:style>
  <w:style w:type="paragraph" w:styleId="ListContinue5">
    <w:name w:val="List Continue 5"/>
    <w:basedOn w:val="List5"/>
    <w:rsid w:val="00860B05"/>
    <w:pPr>
      <w:ind w:firstLine="0"/>
    </w:pPr>
  </w:style>
  <w:style w:type="paragraph" w:styleId="ListNumber3">
    <w:name w:val="List Number 3"/>
    <w:basedOn w:val="List3"/>
    <w:rsid w:val="00860B05"/>
    <w:pPr>
      <w:numPr>
        <w:numId w:val="4"/>
      </w:numPr>
    </w:pPr>
  </w:style>
  <w:style w:type="paragraph" w:styleId="ListNumber4">
    <w:name w:val="List Number 4"/>
    <w:basedOn w:val="List4"/>
    <w:rsid w:val="00860B05"/>
    <w:pPr>
      <w:numPr>
        <w:numId w:val="5"/>
      </w:numPr>
    </w:pPr>
  </w:style>
  <w:style w:type="paragraph" w:styleId="ListNumber5">
    <w:name w:val="List Number 5"/>
    <w:basedOn w:val="List5"/>
    <w:rsid w:val="00860B05"/>
    <w:pPr>
      <w:numPr>
        <w:numId w:val="6"/>
      </w:numPr>
    </w:pPr>
  </w:style>
  <w:style w:type="paragraph" w:styleId="BlockText">
    <w:name w:val="Block Text"/>
    <w:basedOn w:val="Normal"/>
    <w:rsid w:val="00860B05"/>
    <w:pPr>
      <w:spacing w:after="120"/>
      <w:ind w:left="1440" w:right="1440"/>
    </w:pPr>
  </w:style>
  <w:style w:type="character" w:customStyle="1" w:styleId="Subscript">
    <w:name w:val="Subscript"/>
    <w:basedOn w:val="DefaultParagraphFont"/>
    <w:rsid w:val="00860B05"/>
    <w:rPr>
      <w:sz w:val="16"/>
      <w:vertAlign w:val="subscript"/>
    </w:rPr>
  </w:style>
  <w:style w:type="character" w:customStyle="1" w:styleId="Superscript">
    <w:name w:val="Superscript"/>
    <w:basedOn w:val="DefaultParagraphFont"/>
    <w:rsid w:val="00860B05"/>
    <w:rPr>
      <w:sz w:val="16"/>
      <w:vertAlign w:val="superscript"/>
    </w:rPr>
  </w:style>
  <w:style w:type="character" w:customStyle="1" w:styleId="Symbols">
    <w:name w:val="Symbols"/>
    <w:basedOn w:val="DefaultParagraphFont"/>
    <w:rsid w:val="00860B05"/>
    <w:rPr>
      <w:rFonts w:ascii="Symbol" w:hAnsi="Symbol"/>
    </w:rPr>
  </w:style>
  <w:style w:type="character" w:customStyle="1" w:styleId="MenuOptions">
    <w:name w:val="Menu Options"/>
    <w:basedOn w:val="DefaultParagraphFont"/>
    <w:rsid w:val="00860B05"/>
    <w:rPr>
      <w:rFonts w:ascii="Arial Narrow" w:hAnsi="Arial Narrow"/>
      <w:smallCaps/>
    </w:rPr>
  </w:style>
  <w:style w:type="character" w:customStyle="1" w:styleId="Buttons">
    <w:name w:val="Buttons"/>
    <w:basedOn w:val="DefaultParagraphFont"/>
    <w:rsid w:val="00860B05"/>
    <w:rPr>
      <w:b/>
    </w:rPr>
  </w:style>
  <w:style w:type="character" w:customStyle="1" w:styleId="Underlined">
    <w:name w:val="Underlined"/>
    <w:basedOn w:val="DefaultParagraphFont"/>
    <w:rsid w:val="00860B05"/>
    <w:rPr>
      <w:u w:val="single"/>
    </w:rPr>
  </w:style>
  <w:style w:type="paragraph" w:customStyle="1" w:styleId="TableBodyTextRight">
    <w:name w:val="Table Body Text Right"/>
    <w:basedOn w:val="TableBodyText"/>
    <w:rsid w:val="00860B05"/>
    <w:pPr>
      <w:widowControl w:val="0"/>
      <w:autoSpaceDE w:val="0"/>
      <w:autoSpaceDN w:val="0"/>
      <w:adjustRightInd w:val="0"/>
      <w:jc w:val="right"/>
    </w:pPr>
    <w:rPr>
      <w:rFonts w:cs="Arial"/>
      <w:szCs w:val="18"/>
    </w:rPr>
  </w:style>
  <w:style w:type="paragraph" w:customStyle="1" w:styleId="CopyrightText">
    <w:name w:val="Copyright Text"/>
    <w:basedOn w:val="BodyText"/>
    <w:rsid w:val="00860B05"/>
    <w:rPr>
      <w:sz w:val="18"/>
    </w:rPr>
  </w:style>
  <w:style w:type="paragraph" w:customStyle="1" w:styleId="BodySmallRight">
    <w:name w:val="Body Small Right"/>
    <w:basedOn w:val="BodyTextRight"/>
    <w:rsid w:val="00860B05"/>
    <w:rPr>
      <w:sz w:val="18"/>
      <w:szCs w:val="18"/>
    </w:rPr>
  </w:style>
  <w:style w:type="paragraph" w:customStyle="1" w:styleId="MarginEdition">
    <w:name w:val="Margin Edition"/>
    <w:basedOn w:val="MarginNote"/>
    <w:rsid w:val="00860B05"/>
    <w:pPr>
      <w:spacing w:before="0" w:after="0"/>
    </w:pPr>
    <w:rPr>
      <w:rFonts w:ascii="Times New Roman" w:hAnsi="Times New Roman"/>
      <w:color w:val="999999"/>
    </w:rPr>
  </w:style>
  <w:style w:type="paragraph" w:customStyle="1" w:styleId="Spacer">
    <w:name w:val="Spacer"/>
    <w:basedOn w:val="Normal"/>
    <w:rsid w:val="00860B05"/>
    <w:rPr>
      <w:sz w:val="2"/>
      <w:szCs w:val="2"/>
    </w:rPr>
  </w:style>
  <w:style w:type="character" w:customStyle="1" w:styleId="Small">
    <w:name w:val="Small"/>
    <w:basedOn w:val="DefaultParagraphFont"/>
    <w:rsid w:val="00860B05"/>
    <w:rPr>
      <w:sz w:val="16"/>
    </w:rPr>
  </w:style>
  <w:style w:type="paragraph" w:customStyle="1" w:styleId="WideTable">
    <w:name w:val="Wide Table"/>
    <w:basedOn w:val="Normal"/>
    <w:rsid w:val="00860B05"/>
    <w:pPr>
      <w:ind w:left="-1418"/>
    </w:pPr>
    <w:rPr>
      <w:sz w:val="2"/>
      <w:szCs w:val="2"/>
    </w:rPr>
  </w:style>
  <w:style w:type="character" w:styleId="PageNumber">
    <w:name w:val="page number"/>
    <w:basedOn w:val="DefaultParagraphFont"/>
    <w:rsid w:val="00860B05"/>
  </w:style>
  <w:style w:type="paragraph" w:styleId="Quote">
    <w:name w:val="Quote"/>
    <w:basedOn w:val="Heading1"/>
    <w:link w:val="QuoteChar"/>
    <w:qFormat/>
    <w:rsid w:val="00860B05"/>
    <w:rPr>
      <w:b w:val="0"/>
      <w:sz w:val="72"/>
      <w:szCs w:val="72"/>
      <w:lang w:val="en-NZ"/>
    </w:rPr>
  </w:style>
  <w:style w:type="character" w:customStyle="1" w:styleId="QuoteChar">
    <w:name w:val="Quote Char"/>
    <w:basedOn w:val="DefaultParagraphFont"/>
    <w:link w:val="Quote"/>
    <w:rsid w:val="00860B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0B05"/>
    <w:pPr>
      <w:pageBreakBefore/>
    </w:pPr>
  </w:style>
  <w:style w:type="paragraph" w:customStyle="1" w:styleId="Border">
    <w:name w:val="Border"/>
    <w:basedOn w:val="Normal"/>
    <w:qFormat/>
    <w:rsid w:val="00860B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0B05"/>
    <w:rPr>
      <w:b/>
      <w:bCs/>
      <w:i/>
      <w:iCs/>
      <w:color w:val="auto"/>
    </w:rPr>
  </w:style>
  <w:style w:type="paragraph" w:styleId="IntenseQuote">
    <w:name w:val="Intense Quote"/>
    <w:basedOn w:val="Normal"/>
    <w:next w:val="Normal"/>
    <w:link w:val="IntenseQuoteChar"/>
    <w:uiPriority w:val="30"/>
    <w:qFormat/>
    <w:rsid w:val="00860B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0B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60B05"/>
    <w:rPr>
      <w:smallCaps/>
      <w:color w:val="auto"/>
      <w:u w:val="single"/>
    </w:rPr>
  </w:style>
  <w:style w:type="character" w:styleId="IntenseReference">
    <w:name w:val="Intense Reference"/>
    <w:basedOn w:val="DefaultParagraphFont"/>
    <w:uiPriority w:val="32"/>
    <w:qFormat/>
    <w:rsid w:val="00860B05"/>
    <w:rPr>
      <w:b/>
      <w:bCs/>
      <w:smallCaps/>
      <w:color w:val="auto"/>
      <w:spacing w:val="5"/>
      <w:u w:val="single"/>
    </w:rPr>
  </w:style>
  <w:style w:type="paragraph" w:customStyle="1" w:styleId="2ColumnHeading">
    <w:name w:val="2Column Heading"/>
    <w:basedOn w:val="BodyText"/>
    <w:qFormat/>
    <w:rsid w:val="00860B05"/>
    <w:pPr>
      <w:spacing w:after="60"/>
      <w:ind w:left="-2268"/>
    </w:pPr>
    <w:rPr>
      <w:b/>
    </w:rPr>
  </w:style>
  <w:style w:type="paragraph" w:customStyle="1" w:styleId="Heading1TOC">
    <w:name w:val="Heading1 TOC"/>
    <w:basedOn w:val="Normal"/>
    <w:qFormat/>
    <w:rsid w:val="00860B05"/>
    <w:pPr>
      <w:spacing w:before="240" w:after="120"/>
    </w:pPr>
    <w:rPr>
      <w:rFonts w:ascii="Times New Roman" w:hAnsi="Times New Roman"/>
      <w:b/>
      <w:sz w:val="32"/>
    </w:rPr>
  </w:style>
  <w:style w:type="paragraph" w:customStyle="1" w:styleId="Heading2TOC">
    <w:name w:val="Heading2 TOC"/>
    <w:basedOn w:val="Normal"/>
    <w:qFormat/>
    <w:rsid w:val="00860B05"/>
    <w:pPr>
      <w:spacing w:before="240" w:after="60"/>
    </w:pPr>
    <w:rPr>
      <w:rFonts w:ascii="Times New Roman" w:hAnsi="Times New Roman"/>
      <w:b/>
      <w:sz w:val="28"/>
    </w:rPr>
  </w:style>
  <w:style w:type="character" w:customStyle="1" w:styleId="Underline">
    <w:name w:val="Underline"/>
    <w:basedOn w:val="DefaultParagraphFont"/>
    <w:qFormat/>
    <w:rsid w:val="00860B05"/>
    <w:rPr>
      <w:u w:val="single"/>
    </w:rPr>
  </w:style>
  <w:style w:type="character" w:customStyle="1" w:styleId="BoldandItalics">
    <w:name w:val="Bold and Italics"/>
    <w:qFormat/>
    <w:rsid w:val="00860B05"/>
    <w:rPr>
      <w:b/>
      <w:i/>
      <w:u w:val="none"/>
    </w:rPr>
  </w:style>
  <w:style w:type="paragraph" w:styleId="BalloonText">
    <w:name w:val="Balloon Text"/>
    <w:basedOn w:val="Normal"/>
    <w:link w:val="BalloonTextChar"/>
    <w:rsid w:val="00860B05"/>
    <w:rPr>
      <w:rFonts w:ascii="Tahoma" w:hAnsi="Tahoma" w:cs="Tahoma"/>
      <w:sz w:val="16"/>
      <w:szCs w:val="16"/>
    </w:rPr>
  </w:style>
  <w:style w:type="character" w:customStyle="1" w:styleId="BalloonTextChar">
    <w:name w:val="Balloon Text Char"/>
    <w:basedOn w:val="DefaultParagraphFont"/>
    <w:link w:val="BalloonText"/>
    <w:rsid w:val="00860B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60B0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60B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60B05"/>
    <w:rPr>
      <w:b/>
      <w:color w:val="660033"/>
      <w:spacing w:val="0"/>
    </w:rPr>
  </w:style>
  <w:style w:type="paragraph" w:customStyle="1" w:styleId="Nameditemlist">
    <w:name w:val="Named item list"/>
    <w:basedOn w:val="BodyText"/>
    <w:qFormat/>
    <w:rsid w:val="00860B05"/>
    <w:pPr>
      <w:tabs>
        <w:tab w:val="left" w:pos="2835"/>
      </w:tabs>
      <w:ind w:left="2835" w:hanging="2835"/>
    </w:pPr>
  </w:style>
  <w:style w:type="paragraph" w:customStyle="1" w:styleId="BodyTextnopadding">
    <w:name w:val="Body Text no padding"/>
    <w:basedOn w:val="BodyText"/>
    <w:qFormat/>
    <w:rsid w:val="00860B05"/>
    <w:pPr>
      <w:spacing w:before="0" w:after="0"/>
    </w:pPr>
  </w:style>
  <w:style w:type="paragraph" w:customStyle="1" w:styleId="BodyTextBold">
    <w:name w:val="Body Text Bold"/>
    <w:basedOn w:val="BodyText"/>
    <w:qFormat/>
    <w:rsid w:val="00860B05"/>
    <w:rPr>
      <w:b/>
    </w:rPr>
  </w:style>
  <w:style w:type="character" w:styleId="Hyperlink">
    <w:name w:val="Hyperlink"/>
    <w:basedOn w:val="DefaultParagraphFont"/>
    <w:uiPriority w:val="99"/>
    <w:unhideWhenUsed/>
    <w:rsid w:val="00A97B5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577</Words>
  <Characters>3890</Characters>
  <Application>Microsoft Office Word</Application>
  <DocSecurity>0</DocSecurity>
  <Lines>194</Lines>
  <Paragraphs>108</Paragraphs>
  <ScaleCrop>false</ScaleCrop>
  <Company>Author-it Software Corporation Ltd.</Company>
  <LinksUpToDate>false</LinksUpToDate>
  <CharactersWithSpaces>4359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MEM18055 Dismantle, replace and assemble engineering components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2024-09-27T00:31:00Z</dcterms:created>
  <dcterms:modified xsi:type="dcterms:W3CDTF">2024-09-27T00:31:00Z</dcterms:modified>
</cp:coreProperties>
</file>