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31D8" w:rsidP="00A631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MEM18055 Dismantle, replace and assemble engineering components</w:t>
      </w:r>
      <w:r>
        <w:fldChar w:fldCharType="end"/>
      </w:r>
    </w:p>
    <w:p w:rsidR="00A631D8" w:rsidP="00A631D8">
      <w:pPr>
        <w:pStyle w:val="Version"/>
        <w:sectPr w:rsidSect="001F29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296B" w:rsidP="001F296B">
      <w:pPr>
        <w:pStyle w:val="SuperHeading"/>
      </w:pPr>
      <w:r w:rsidRPr="001F296B">
        <w:t>Assessment Requirements for MEM18055 Dismantle, replace and assemble engineering components</w:t>
      </w:r>
    </w:p>
    <w:p w:rsidR="00000000" w:rsidRPr="001F296B" w:rsidP="001F296B">
      <w:pPr>
        <w:pStyle w:val="Heading1"/>
      </w:pPr>
      <w:bookmarkStart w:id="1" w:name="O_941309"/>
      <w:bookmarkEnd w:id="1"/>
      <w:r w:rsidRPr="001F296B">
        <w:t>Modification History</w:t>
      </w:r>
    </w:p>
    <w:p w:rsidR="00000000" w:rsidRPr="001F296B" w:rsidP="00A631D8">
      <w:pPr>
        <w:pStyle w:val="BodyText"/>
      </w:pPr>
      <w:r w:rsidRPr="001F296B">
        <w:t xml:space="preserve">Release 1. Supersedes and is equivalent to MEM18055B Dismantle, replace and assemble engineering components </w:t>
      </w:r>
    </w:p>
    <w:p w:rsidR="00000000" w:rsidRPr="001F296B" w:rsidP="001F296B">
      <w:pPr>
        <w:pStyle w:val="Heading1"/>
      </w:pPr>
      <w:bookmarkStart w:id="2" w:name="O_941312"/>
      <w:bookmarkEnd w:id="2"/>
      <w:r w:rsidRPr="001F296B">
        <w:t>Performance Evidence</w:t>
      </w:r>
    </w:p>
    <w:p w:rsidR="00000000" w:rsidRPr="001F296B" w:rsidP="00A631D8">
      <w:pPr>
        <w:pStyle w:val="BodyText"/>
      </w:pPr>
      <w:r w:rsidRPr="001F296B">
        <w:t>Evidence required to demonstrate competence in this unit must be relevant to and satisfy the requirements of the elements and performance criteria on at least two (2) occasions and include:</w:t>
      </w:r>
    </w:p>
    <w:p w:rsidR="00000000" w:rsidRPr="001F296B" w:rsidP="001F296B">
      <w:pPr>
        <w:pStyle w:val="ListBullet"/>
      </w:pPr>
      <w:r w:rsidRPr="001F296B">
        <w:t>following work instructions, standard operat</w:t>
      </w:r>
      <w:r w:rsidRPr="001F296B">
        <w:t xml:space="preserve">ing procedures (SOPs) and safe work practices </w:t>
      </w:r>
    </w:p>
    <w:p w:rsidR="00000000" w:rsidRPr="001F296B" w:rsidP="001F296B">
      <w:pPr>
        <w:pStyle w:val="ListBullet"/>
      </w:pPr>
      <w:r w:rsidRPr="001F296B">
        <w:t xml:space="preserve">identifying and interpreting specifications, charts, lists, drawings and other applicable reference documents to dismantle, replace and assemble engineering components </w:t>
      </w:r>
    </w:p>
    <w:p w:rsidR="00000000" w:rsidRPr="001F296B" w:rsidP="001F296B">
      <w:pPr>
        <w:pStyle w:val="ListBullet"/>
      </w:pPr>
      <w:r w:rsidRPr="001F296B">
        <w:t>dismantling components using appropriate</w:t>
      </w:r>
      <w:r w:rsidRPr="001F296B">
        <w:t xml:space="preserve"> techniques, tools and equipment and marking component parts for reassembly purposes</w:t>
      </w:r>
    </w:p>
    <w:p w:rsidR="00000000" w:rsidRPr="001F296B" w:rsidP="001F296B">
      <w:pPr>
        <w:pStyle w:val="ListBullet"/>
      </w:pPr>
      <w:r w:rsidRPr="001F296B">
        <w:t>checking component parts visually and dimensionally for compliance to specification and marking faulty parts for repair, replacement or adjustment</w:t>
      </w:r>
    </w:p>
    <w:p w:rsidR="00000000" w:rsidRPr="001F296B" w:rsidP="001F296B">
      <w:pPr>
        <w:pStyle w:val="ListBullet"/>
      </w:pPr>
      <w:r w:rsidRPr="001F296B">
        <w:t>selecting replacement pa</w:t>
      </w:r>
      <w:r w:rsidRPr="001F296B">
        <w:t>rts using manufacturers’ catalogues and data</w:t>
      </w:r>
    </w:p>
    <w:p w:rsidR="00000000" w:rsidRPr="001F296B" w:rsidP="001F296B">
      <w:pPr>
        <w:pStyle w:val="ListBullet"/>
      </w:pPr>
      <w:r w:rsidRPr="001F296B">
        <w:t xml:space="preserve">assembling components using appropriate techniques and principles </w:t>
      </w:r>
    </w:p>
    <w:p w:rsidR="00000000" w:rsidRPr="001F296B" w:rsidP="001F296B">
      <w:pPr>
        <w:pStyle w:val="ListBullet"/>
      </w:pPr>
      <w:r w:rsidRPr="001F296B">
        <w:t>inspecting final assembly for compliance to specifications</w:t>
      </w:r>
    </w:p>
    <w:p w:rsidR="00000000" w:rsidRPr="001F296B" w:rsidP="001F296B">
      <w:pPr>
        <w:pStyle w:val="ListBullet"/>
      </w:pPr>
      <w:r w:rsidRPr="001F296B">
        <w:t>returning the final assembly to service in accordance with SOPs.</w:t>
      </w:r>
    </w:p>
    <w:p w:rsidR="00000000" w:rsidRPr="001F296B" w:rsidP="001F296B">
      <w:pPr>
        <w:pStyle w:val="AllowPageBreak"/>
      </w:pPr>
    </w:p>
    <w:p w:rsidR="00000000" w:rsidRPr="001F296B" w:rsidP="001F296B">
      <w:pPr>
        <w:pStyle w:val="Heading1"/>
      </w:pPr>
      <w:bookmarkStart w:id="3" w:name="O_941311"/>
      <w:bookmarkEnd w:id="3"/>
      <w:r w:rsidRPr="001F296B">
        <w:t>Kno</w:t>
      </w:r>
      <w:r w:rsidRPr="001F296B">
        <w:t>wledge Evidence</w:t>
      </w:r>
    </w:p>
    <w:p w:rsidR="00000000" w:rsidRPr="001F296B" w:rsidP="00A631D8">
      <w:pPr>
        <w:pStyle w:val="BodyText"/>
      </w:pPr>
      <w:r w:rsidRPr="001F296B">
        <w:t>Evidence required to demonstrate the required knowledge for this unit must be relevant to and satisfy the requirements of the elements and performance criteria and include knowledge of:</w:t>
      </w:r>
    </w:p>
    <w:p w:rsidR="00000000" w:rsidRPr="001F296B" w:rsidP="001F296B">
      <w:pPr>
        <w:pStyle w:val="ListBullet"/>
      </w:pPr>
      <w:r w:rsidRPr="001F296B">
        <w:t>safe work practices and procedures and use of persona</w:t>
      </w:r>
      <w:r w:rsidRPr="001F296B">
        <w:t>l protective equipment (PPE)</w:t>
      </w:r>
    </w:p>
    <w:p w:rsidR="00000000" w:rsidRPr="001F296B" w:rsidP="001F296B">
      <w:pPr>
        <w:pStyle w:val="ListBullet"/>
      </w:pPr>
      <w:r w:rsidRPr="001F296B">
        <w:t>tasks to be performed in accordance with SOPs</w:t>
      </w:r>
    </w:p>
    <w:p w:rsidR="00000000" w:rsidRPr="001F296B" w:rsidP="001F296B">
      <w:pPr>
        <w:pStyle w:val="ListBullet"/>
      </w:pPr>
      <w:r w:rsidRPr="001F296B">
        <w:t>tools and equipment associated with dismantling the components</w:t>
      </w:r>
    </w:p>
    <w:p w:rsidR="00000000" w:rsidRPr="001F296B" w:rsidP="001F296B">
      <w:pPr>
        <w:pStyle w:val="ListBullet"/>
      </w:pPr>
      <w:r w:rsidRPr="001F296B">
        <w:t>procedures for:</w:t>
      </w:r>
    </w:p>
    <w:p w:rsidR="00000000" w:rsidRPr="001F296B" w:rsidP="001F296B">
      <w:pPr>
        <w:pStyle w:val="ListBullet2"/>
      </w:pPr>
      <w:r w:rsidRPr="001F296B">
        <w:t>checking components for conformance to specification and equipment required</w:t>
      </w:r>
    </w:p>
    <w:p w:rsidR="00000000" w:rsidRPr="001F296B" w:rsidP="001F296B">
      <w:pPr>
        <w:pStyle w:val="ListBullet2"/>
      </w:pPr>
      <w:r w:rsidRPr="001F296B">
        <w:t>assembling components and requirements of the assembly in terms of specifications, operational performance, quality and safety</w:t>
      </w:r>
    </w:p>
    <w:p w:rsidR="00000000" w:rsidRPr="001F296B" w:rsidP="001F296B">
      <w:pPr>
        <w:pStyle w:val="ListBullet2"/>
      </w:pPr>
      <w:r w:rsidRPr="001F296B">
        <w:t>lubricating the assembly</w:t>
      </w:r>
    </w:p>
    <w:p w:rsidR="00000000" w:rsidRPr="001F296B" w:rsidP="001F296B">
      <w:pPr>
        <w:pStyle w:val="ListBullet2"/>
      </w:pPr>
      <w:r w:rsidRPr="001F296B">
        <w:t>returning components/assemblies into use and checks to be undertaken during inspection of the final asse</w:t>
      </w:r>
      <w:r w:rsidRPr="001F296B">
        <w:t>mbly</w:t>
      </w:r>
    </w:p>
    <w:p w:rsidR="00000000" w:rsidRPr="001F296B" w:rsidP="001F296B">
      <w:pPr>
        <w:pStyle w:val="ListBullet"/>
      </w:pPr>
      <w:r w:rsidRPr="001F296B">
        <w:t xml:space="preserve">specifications of the components to be replaced, including features and/or dimensions </w:t>
      </w:r>
    </w:p>
    <w:p w:rsidR="00000000" w:rsidRPr="001F296B" w:rsidP="001F296B">
      <w:pPr>
        <w:pStyle w:val="ListBullet"/>
      </w:pPr>
      <w:r w:rsidRPr="001F296B">
        <w:t>process of identifying replacement parts from catalogues</w:t>
      </w:r>
    </w:p>
    <w:p w:rsidR="00000000" w:rsidRPr="001F296B" w:rsidP="001F296B">
      <w:pPr>
        <w:pStyle w:val="ListBullet"/>
      </w:pPr>
      <w:r w:rsidRPr="001F296B">
        <w:t>packing and sealing materials.</w:t>
      </w:r>
    </w:p>
    <w:p w:rsidR="00000000" w:rsidRPr="001F296B" w:rsidP="001F296B">
      <w:pPr>
        <w:pStyle w:val="AllowPageBreak"/>
      </w:pPr>
    </w:p>
    <w:p w:rsidR="00000000" w:rsidRPr="001F296B" w:rsidP="001F296B">
      <w:pPr>
        <w:pStyle w:val="Heading1"/>
      </w:pPr>
      <w:bookmarkStart w:id="4" w:name="O_941310"/>
      <w:bookmarkEnd w:id="4"/>
      <w:r w:rsidRPr="001F296B">
        <w:t>Assessment Conditions</w:t>
      </w:r>
    </w:p>
    <w:p w:rsidR="00000000" w:rsidRPr="001F296B" w:rsidP="001F296B">
      <w:pPr>
        <w:pStyle w:val="ListBullet"/>
      </w:pPr>
      <w:r w:rsidRPr="001F296B">
        <w:t>Assessors must:</w:t>
      </w:r>
    </w:p>
    <w:p w:rsidR="00000000" w:rsidRPr="001F296B" w:rsidP="001F296B">
      <w:pPr>
        <w:pStyle w:val="ListBullet2"/>
      </w:pPr>
      <w:r w:rsidRPr="001F296B">
        <w:t>have vocational co</w:t>
      </w:r>
      <w:r w:rsidRPr="001F296B">
        <w:t>mpetency in dismantling, replacing and assembling engineering components at least to the level being assessed with relevant industry knowledge and experience</w:t>
      </w:r>
    </w:p>
    <w:p w:rsidR="00000000" w:rsidRPr="001F296B" w:rsidP="001F296B">
      <w:pPr>
        <w:pStyle w:val="ListBullet2"/>
      </w:pPr>
      <w:r w:rsidRPr="001F296B">
        <w:t xml:space="preserve">satisfy the assessor requirements in the </w:t>
      </w:r>
      <w:r w:rsidRPr="001F296B">
        <w:rPr>
          <w:rStyle w:val="Emphasis"/>
        </w:rPr>
        <w:t xml:space="preserve">Standards for Registered Training Organisations 2015 </w:t>
      </w:r>
      <w:r w:rsidRPr="001F296B">
        <w:t>or i</w:t>
      </w:r>
      <w:r w:rsidRPr="001F296B">
        <w:t>ts replacement</w:t>
      </w:r>
      <w:r w:rsidRPr="001F296B">
        <w:rPr>
          <w:rStyle w:val="Emphasis"/>
        </w:rPr>
        <w:t xml:space="preserve"> </w:t>
      </w:r>
      <w:r w:rsidRPr="001F296B">
        <w:t xml:space="preserve">and comply with the </w:t>
      </w:r>
      <w:r w:rsidRPr="001F296B">
        <w:rPr>
          <w:rStyle w:val="Emphasis"/>
        </w:rPr>
        <w:t xml:space="preserve">National Vocational Education and Training Regulator Act 2011, </w:t>
      </w:r>
      <w:r w:rsidRPr="001F296B">
        <w:t>its replacement</w:t>
      </w:r>
      <w:r w:rsidRPr="001F296B">
        <w:rPr>
          <w:rStyle w:val="Emphasis"/>
        </w:rPr>
        <w:t xml:space="preserve"> </w:t>
      </w:r>
      <w:r w:rsidRPr="001F296B">
        <w:t>or equivalent legislation covering VET regulation in a non-referring state/territory as the case requires</w:t>
      </w:r>
    </w:p>
    <w:p w:rsidR="00000000" w:rsidRPr="001F296B" w:rsidP="001F296B">
      <w:pPr>
        <w:pStyle w:val="ListBullet"/>
      </w:pPr>
      <w:r w:rsidRPr="001F296B">
        <w:t>Where possible assessment must occu</w:t>
      </w:r>
      <w:r w:rsidRPr="001F296B">
        <w:t>r in operational workplace situations. Where this is not possible or where personal safety or environmental damage are limiting factors, assessment must occur in a sufficiently rigorous simulated environment that reflects realistic operational workplace co</w:t>
      </w:r>
      <w:r w:rsidRPr="001F296B">
        <w:t>nditions. This must cover all aspects of workplace performance, including environment, task skills, task management skills, contingency management skills and job role environment skills</w:t>
      </w:r>
    </w:p>
    <w:p w:rsidR="00000000" w:rsidRPr="001F296B" w:rsidP="001F296B">
      <w:pPr>
        <w:pStyle w:val="ListBullet"/>
      </w:pPr>
      <w:r w:rsidRPr="001F296B">
        <w:t>Conditions for assessment must include access to all tools, equipment,</w:t>
      </w:r>
      <w:r w:rsidRPr="001F296B">
        <w:t xml:space="preserve"> materials and documentation required, including relevant workplace procedures, product and manufacturing specifications</w:t>
      </w:r>
    </w:p>
    <w:p w:rsidR="00000000" w:rsidRPr="001F296B" w:rsidP="001F296B">
      <w:pPr>
        <w:pStyle w:val="ListBullet"/>
      </w:pPr>
      <w:r w:rsidRPr="001F296B">
        <w:t>Assessment processes and techniques must be appropriate to the language, literacy and numeracy requirements of the work being performed</w:t>
      </w:r>
      <w:r w:rsidRPr="001F296B">
        <w:t xml:space="preserve"> and the needs of the candidate.</w:t>
      </w:r>
    </w:p>
    <w:p w:rsidR="00000000" w:rsidRPr="001F296B" w:rsidP="001F296B">
      <w:pPr>
        <w:pStyle w:val="AllowPageBreak"/>
      </w:pPr>
    </w:p>
    <w:p w:rsidR="00000000" w:rsidRPr="001F296B" w:rsidP="001F296B">
      <w:pPr>
        <w:pStyle w:val="Heading1"/>
      </w:pPr>
      <w:bookmarkStart w:id="5" w:name="O_941308"/>
      <w:bookmarkEnd w:id="5"/>
      <w:r w:rsidRPr="001F296B">
        <w:t>Links</w:t>
      </w:r>
    </w:p>
    <w:p w:rsidR="00000000" w:rsidRPr="001F296B" w:rsidP="00A631D8">
      <w:pPr>
        <w:pStyle w:val="BodyText"/>
      </w:pPr>
      <w:r w:rsidRPr="001F29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03A7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F296B" w:rsidP="001F296B"/>
    <w:sectPr w:rsidSect="001F29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6B" w:rsidRPr="00A631D8" w:rsidP="00A631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1D8" w:rsidP="001F29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31D8" w:rsidP="001F29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631D8" w:rsidP="001F29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1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296B" w:rsidRPr="00A631D8" w:rsidP="00A631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9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1D8" w:rsidRPr="002D2AF8" w:rsidP="001F29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MEM18055 Dismantle, replace and assemble engineering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A631D8" w:rsidP="001F29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3E47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78A7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2886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9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29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29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29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29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29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29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29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29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29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29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296B"/>
  </w:style>
  <w:style w:type="character" w:customStyle="1" w:styleId="Heading1Char">
    <w:name w:val="Heading 1 Char"/>
    <w:basedOn w:val="DefaultParagraphFont"/>
    <w:link w:val="Heading1"/>
    <w:rsid w:val="001F29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29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29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296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29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F296B"/>
    <w:rPr>
      <w:i/>
    </w:rPr>
  </w:style>
  <w:style w:type="paragraph" w:customStyle="1" w:styleId="SuperHeading">
    <w:name w:val="SuperHeading"/>
    <w:basedOn w:val="Normal"/>
    <w:rsid w:val="001F29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29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29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29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29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29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29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29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29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29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29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29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29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29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29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29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29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29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29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29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29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29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296B"/>
    <w:rPr>
      <w:b/>
      <w:spacing w:val="0"/>
    </w:rPr>
  </w:style>
  <w:style w:type="paragraph" w:customStyle="1" w:styleId="SuperTitle">
    <w:name w:val="SuperTitle"/>
    <w:basedOn w:val="Title"/>
    <w:rsid w:val="001F29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29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29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29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29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29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29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29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29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29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29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29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29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29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29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296B"/>
  </w:style>
  <w:style w:type="paragraph" w:styleId="TableofFigures">
    <w:name w:val="table of figures"/>
    <w:basedOn w:val="Normal"/>
    <w:next w:val="Normal"/>
    <w:semiHidden/>
    <w:rsid w:val="001F29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29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296B"/>
    <w:rPr>
      <w:rFonts w:ascii="Wingdings" w:hAnsi="Wingdings"/>
    </w:rPr>
  </w:style>
  <w:style w:type="paragraph" w:customStyle="1" w:styleId="TableHeading">
    <w:name w:val="Table Heading"/>
    <w:basedOn w:val="HeadingBase"/>
    <w:rsid w:val="001F29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296B"/>
    <w:rPr>
      <w:color w:val="0033CC"/>
      <w:u w:val="none"/>
    </w:rPr>
  </w:style>
  <w:style w:type="paragraph" w:customStyle="1" w:styleId="BodyTextRight">
    <w:name w:val="Body Text Right"/>
    <w:basedOn w:val="BodyText"/>
    <w:rsid w:val="001F29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29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29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29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29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29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296B"/>
    <w:rPr>
      <w:sz w:val="32"/>
    </w:rPr>
  </w:style>
  <w:style w:type="paragraph" w:customStyle="1" w:styleId="HeadingProcedure">
    <w:name w:val="Heading Procedure"/>
    <w:basedOn w:val="HeadingBase"/>
    <w:next w:val="Normal"/>
    <w:rsid w:val="001F29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296B"/>
    <w:pPr>
      <w:spacing w:before="60" w:after="60"/>
    </w:pPr>
  </w:style>
  <w:style w:type="paragraph" w:styleId="ListContinue">
    <w:name w:val="List Continue"/>
    <w:basedOn w:val="List"/>
    <w:rsid w:val="001F296B"/>
    <w:pPr>
      <w:ind w:firstLine="0"/>
    </w:pPr>
  </w:style>
  <w:style w:type="paragraph" w:customStyle="1" w:styleId="ListNote">
    <w:name w:val="List Note"/>
    <w:basedOn w:val="List"/>
    <w:rsid w:val="001F29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29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29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296B"/>
    <w:rPr>
      <w:rFonts w:ascii="Courier New" w:hAnsi="Courier New"/>
    </w:rPr>
  </w:style>
  <w:style w:type="paragraph" w:customStyle="1" w:styleId="NoteBullet">
    <w:name w:val="Note Bullet"/>
    <w:basedOn w:val="Note"/>
    <w:rsid w:val="001F29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29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29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29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29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29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29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296B"/>
    <w:rPr>
      <w:b/>
      <w:smallCaps/>
    </w:rPr>
  </w:style>
  <w:style w:type="paragraph" w:customStyle="1" w:styleId="TableListNumber">
    <w:name w:val="Table List Number"/>
    <w:basedOn w:val="ListNumber"/>
    <w:rsid w:val="001F29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29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296B"/>
    <w:pPr>
      <w:numPr>
        <w:numId w:val="9"/>
      </w:numPr>
    </w:pPr>
  </w:style>
  <w:style w:type="paragraph" w:customStyle="1" w:styleId="ListAlpha2">
    <w:name w:val="List Alpha 2"/>
    <w:basedOn w:val="List2"/>
    <w:rsid w:val="001F296B"/>
    <w:pPr>
      <w:numPr>
        <w:numId w:val="8"/>
      </w:numPr>
    </w:pPr>
  </w:style>
  <w:style w:type="paragraph" w:styleId="List2">
    <w:name w:val="List 2"/>
    <w:basedOn w:val="BodyText"/>
    <w:rsid w:val="001F29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29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29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29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29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29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296B"/>
    <w:pPr>
      <w:numPr>
        <w:numId w:val="4"/>
      </w:numPr>
    </w:pPr>
  </w:style>
  <w:style w:type="paragraph" w:styleId="ListContinue2">
    <w:name w:val="List Continue 2"/>
    <w:basedOn w:val="List2"/>
    <w:rsid w:val="001F296B"/>
    <w:pPr>
      <w:ind w:firstLine="0"/>
    </w:pPr>
  </w:style>
  <w:style w:type="paragraph" w:styleId="ListContinue3">
    <w:name w:val="List Continue 3"/>
    <w:basedOn w:val="List3"/>
    <w:rsid w:val="001F296B"/>
    <w:pPr>
      <w:ind w:left="1021" w:firstLine="0"/>
    </w:pPr>
  </w:style>
  <w:style w:type="paragraph" w:styleId="ListContinue4">
    <w:name w:val="List Continue 4"/>
    <w:basedOn w:val="List4"/>
    <w:rsid w:val="001F296B"/>
    <w:pPr>
      <w:ind w:firstLine="0"/>
    </w:pPr>
  </w:style>
  <w:style w:type="paragraph" w:styleId="ListContinue5">
    <w:name w:val="List Continue 5"/>
    <w:basedOn w:val="List5"/>
    <w:rsid w:val="001F296B"/>
    <w:pPr>
      <w:ind w:firstLine="0"/>
    </w:pPr>
  </w:style>
  <w:style w:type="paragraph" w:styleId="ListNumber3">
    <w:name w:val="List Number 3"/>
    <w:basedOn w:val="List3"/>
    <w:rsid w:val="001F296B"/>
    <w:pPr>
      <w:numPr>
        <w:numId w:val="5"/>
      </w:numPr>
    </w:pPr>
  </w:style>
  <w:style w:type="paragraph" w:styleId="ListNumber4">
    <w:name w:val="List Number 4"/>
    <w:basedOn w:val="List4"/>
    <w:rsid w:val="001F296B"/>
    <w:pPr>
      <w:numPr>
        <w:numId w:val="6"/>
      </w:numPr>
    </w:pPr>
  </w:style>
  <w:style w:type="paragraph" w:styleId="ListNumber5">
    <w:name w:val="List Number 5"/>
    <w:basedOn w:val="List5"/>
    <w:rsid w:val="001F296B"/>
    <w:pPr>
      <w:numPr>
        <w:numId w:val="7"/>
      </w:numPr>
    </w:pPr>
  </w:style>
  <w:style w:type="paragraph" w:styleId="BlockText">
    <w:name w:val="Block Text"/>
    <w:basedOn w:val="Normal"/>
    <w:rsid w:val="001F29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29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296B"/>
    <w:rPr>
      <w:sz w:val="16"/>
      <w:vertAlign w:val="superscript"/>
    </w:rPr>
  </w:style>
  <w:style w:type="character" w:customStyle="1" w:styleId="Symbols">
    <w:name w:val="Symbols"/>
    <w:basedOn w:val="DefaultParagraphFont"/>
    <w:rsid w:val="001F296B"/>
    <w:rPr>
      <w:rFonts w:ascii="Symbol" w:hAnsi="Symbol"/>
    </w:rPr>
  </w:style>
  <w:style w:type="character" w:customStyle="1" w:styleId="MenuOptions">
    <w:name w:val="Menu Options"/>
    <w:basedOn w:val="DefaultParagraphFont"/>
    <w:rsid w:val="001F29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296B"/>
    <w:rPr>
      <w:b/>
    </w:rPr>
  </w:style>
  <w:style w:type="character" w:customStyle="1" w:styleId="Underlined">
    <w:name w:val="Underlined"/>
    <w:basedOn w:val="DefaultParagraphFont"/>
    <w:rsid w:val="001F296B"/>
    <w:rPr>
      <w:u w:val="single"/>
    </w:rPr>
  </w:style>
  <w:style w:type="paragraph" w:customStyle="1" w:styleId="TableBodyTextRight">
    <w:name w:val="Table Body Text Right"/>
    <w:basedOn w:val="TableBodyText"/>
    <w:rsid w:val="001F29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296B"/>
    <w:rPr>
      <w:sz w:val="18"/>
    </w:rPr>
  </w:style>
  <w:style w:type="paragraph" w:customStyle="1" w:styleId="BodySmallRight">
    <w:name w:val="Body Small Right"/>
    <w:basedOn w:val="BodyTextRight"/>
    <w:rsid w:val="001F296B"/>
    <w:rPr>
      <w:sz w:val="18"/>
      <w:szCs w:val="18"/>
    </w:rPr>
  </w:style>
  <w:style w:type="paragraph" w:customStyle="1" w:styleId="MarginEdition">
    <w:name w:val="Margin Edition"/>
    <w:basedOn w:val="MarginNote"/>
    <w:rsid w:val="001F29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296B"/>
    <w:rPr>
      <w:sz w:val="2"/>
      <w:szCs w:val="2"/>
    </w:rPr>
  </w:style>
  <w:style w:type="character" w:customStyle="1" w:styleId="Small">
    <w:name w:val="Small"/>
    <w:basedOn w:val="DefaultParagraphFont"/>
    <w:rsid w:val="001F296B"/>
    <w:rPr>
      <w:sz w:val="16"/>
    </w:rPr>
  </w:style>
  <w:style w:type="paragraph" w:customStyle="1" w:styleId="WideTable">
    <w:name w:val="Wide Table"/>
    <w:basedOn w:val="Normal"/>
    <w:rsid w:val="001F29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296B"/>
  </w:style>
  <w:style w:type="paragraph" w:styleId="Quote">
    <w:name w:val="Quote"/>
    <w:basedOn w:val="Heading1"/>
    <w:link w:val="QuoteChar"/>
    <w:qFormat/>
    <w:rsid w:val="001F29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29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296B"/>
    <w:pPr>
      <w:pageBreakBefore/>
    </w:pPr>
  </w:style>
  <w:style w:type="paragraph" w:customStyle="1" w:styleId="Border">
    <w:name w:val="Border"/>
    <w:basedOn w:val="Normal"/>
    <w:qFormat/>
    <w:rsid w:val="001F29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29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9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9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29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29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29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29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29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296B"/>
    <w:rPr>
      <w:u w:val="single"/>
    </w:rPr>
  </w:style>
  <w:style w:type="character" w:customStyle="1" w:styleId="BoldandItalics">
    <w:name w:val="Bold and Italics"/>
    <w:qFormat/>
    <w:rsid w:val="001F296B"/>
    <w:rPr>
      <w:b/>
      <w:i/>
      <w:u w:val="none"/>
    </w:rPr>
  </w:style>
  <w:style w:type="paragraph" w:styleId="BalloonText">
    <w:name w:val="Balloon Text"/>
    <w:basedOn w:val="Normal"/>
    <w:link w:val="BalloonTextChar"/>
    <w:rsid w:val="001F29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29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29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29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29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29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296B"/>
    <w:pPr>
      <w:spacing w:before="0" w:after="0"/>
    </w:pPr>
  </w:style>
  <w:style w:type="paragraph" w:customStyle="1" w:styleId="BodyTextBold">
    <w:name w:val="Body Text Bold"/>
    <w:basedOn w:val="BodyText"/>
    <w:qFormat/>
    <w:rsid w:val="001F296B"/>
    <w:rPr>
      <w:b/>
    </w:rPr>
  </w:style>
  <w:style w:type="character" w:styleId="Hyperlink">
    <w:name w:val="Hyperlink"/>
    <w:basedOn w:val="DefaultParagraphFont"/>
    <w:uiPriority w:val="99"/>
    <w:unhideWhenUsed/>
    <w:rsid w:val="00A631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3446</Characters>
  <Application>Microsoft Office Word</Application>
  <DocSecurity>0</DocSecurity>
  <Lines>73</Lines>
  <Paragraphs>43</Paragraphs>
  <ScaleCrop>false</ScaleCrop>
  <Company>Author-it Software Corporation Ltd.</Company>
  <LinksUpToDate>false</LinksUpToDate>
  <CharactersWithSpaces>3903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MEM18055 Dismantle, replace and assemble engineering components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2024-04-26T01:38:00Z</dcterms:created>
  <dcterms:modified xsi:type="dcterms:W3CDTF">2024-04-26T01:38:00Z</dcterms:modified>
</cp:coreProperties>
</file>