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D10" w:rsidP="00A96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MEM18050 Disconnect/reconnect fixed wired equipment over 1000 volts a.c./1500 volts d.c.</w:t>
      </w:r>
      <w:r>
        <w:fldChar w:fldCharType="end"/>
      </w:r>
    </w:p>
    <w:p w:rsidR="00A96D10" w:rsidP="00A96D10">
      <w:pPr>
        <w:pStyle w:val="Version"/>
        <w:sectPr w:rsidSect="00672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F01" w:rsidP="00672F01">
      <w:pPr>
        <w:pStyle w:val="SuperHeading"/>
      </w:pPr>
      <w:r w:rsidRPr="00672F01">
        <w:t>MEM18050 Disc</w:t>
      </w:r>
      <w:r w:rsidRPr="00672F01">
        <w:t>onnect/reconnect fixed wired equipment over 1000 volts a.c./1500 volts d.c.</w:t>
      </w:r>
    </w:p>
    <w:p w:rsidR="00000000" w:rsidRPr="00672F01" w:rsidP="00672F01">
      <w:pPr>
        <w:pStyle w:val="Heading1"/>
      </w:pPr>
      <w:bookmarkStart w:id="1" w:name="O_941256"/>
      <w:bookmarkEnd w:id="1"/>
      <w:r w:rsidRPr="00672F01">
        <w:t>Modification History</w:t>
      </w:r>
    </w:p>
    <w:p w:rsidR="00000000" w:rsidRPr="00672F01" w:rsidP="00A96D10">
      <w:pPr>
        <w:pStyle w:val="BodyText"/>
      </w:pPr>
      <w:r w:rsidRPr="00672F01">
        <w:t xml:space="preserve">Release 1. Supersedes and is equivalent to MEM18050C Disconnect/reconnect fixed wired equipment over 1000 volts a.c./1500 volts d.c. </w:t>
      </w:r>
    </w:p>
    <w:p w:rsidR="00000000" w:rsidRPr="00672F01" w:rsidP="00672F01">
      <w:pPr>
        <w:pStyle w:val="Heading1"/>
      </w:pPr>
      <w:bookmarkStart w:id="2" w:name="O_941264"/>
      <w:bookmarkEnd w:id="2"/>
      <w:r w:rsidRPr="00672F01">
        <w:t>Application</w:t>
      </w:r>
    </w:p>
    <w:p w:rsidR="00000000" w:rsidRPr="00672F01" w:rsidP="00A96D10">
      <w:pPr>
        <w:pStyle w:val="BodyText"/>
      </w:pPr>
      <w:r w:rsidRPr="00672F01">
        <w:t xml:space="preserve">This unit of competency defines the skills and knowledge required to disconnect and reconnect and making safe for maintenance of equipment for all voltage levels above 1000 volts a.c./1500 volts d.c. </w:t>
      </w:r>
    </w:p>
    <w:p w:rsidR="00000000" w:rsidRPr="00672F01" w:rsidP="00A96D10">
      <w:pPr>
        <w:pStyle w:val="BodyText"/>
      </w:pPr>
      <w:r w:rsidRPr="00672F01">
        <w:t>Where the selection and use of pow</w:t>
      </w:r>
      <w:r w:rsidRPr="00672F01">
        <w:t>er tools/hand held operations is required unit MEM18002 Use power tools/hand held operations should also be selected.</w:t>
      </w:r>
    </w:p>
    <w:p w:rsidR="00000000" w:rsidRPr="00672F01" w:rsidP="00A96D10">
      <w:pPr>
        <w:pStyle w:val="BodyText"/>
      </w:pPr>
      <w:r w:rsidRPr="00672F01">
        <w:t>Some jurisdictions may require the holder of this unit to be licensed or certified and users should check with the relevant authorities.</w:t>
      </w:r>
    </w:p>
    <w:p w:rsidR="00000000" w:rsidRPr="00672F01" w:rsidP="00A96D10">
      <w:pPr>
        <w:pStyle w:val="Heading3"/>
      </w:pPr>
      <w:r w:rsidRPr="00672F01">
        <w:rPr>
          <w:rStyle w:val="SpecialBold"/>
        </w:rPr>
        <w:t>Band:</w:t>
      </w:r>
    </w:p>
    <w:p w:rsidR="00000000" w:rsidRPr="00672F01" w:rsidP="00A96D10">
      <w:pPr>
        <w:pStyle w:val="BodyText"/>
      </w:pPr>
      <w:r w:rsidRPr="00672F01">
        <w:t>This unit has dual status and is to be regarded as both a specialisation Band A unit and Specialisation Band B unit for progression to C7 (AQF level IV).</w:t>
      </w:r>
    </w:p>
    <w:p w:rsidR="00000000" w:rsidRPr="00672F01" w:rsidP="00A96D10">
      <w:pPr>
        <w:pStyle w:val="Heading3"/>
      </w:pPr>
      <w:r w:rsidRPr="00672F01">
        <w:rPr>
          <w:rStyle w:val="SpecialBold"/>
        </w:rPr>
        <w:t>Unit Weight</w:t>
      </w:r>
      <w:r w:rsidRPr="00672F01">
        <w:t>:</w:t>
      </w:r>
      <w:r w:rsidRPr="00672F01">
        <w:tab/>
      </w:r>
      <w:r w:rsidRPr="00672F01">
        <w:rPr>
          <w:rStyle w:val="SpecialBold"/>
        </w:rPr>
        <w:t>3</w:t>
      </w:r>
    </w:p>
    <w:p w:rsidR="00000000" w:rsidRPr="00672F01" w:rsidP="00672F01">
      <w:pPr>
        <w:pStyle w:val="Heading1"/>
      </w:pPr>
      <w:bookmarkStart w:id="3" w:name="O_941263"/>
      <w:bookmarkEnd w:id="3"/>
      <w:r w:rsidRPr="00672F0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976"/>
      </w:tblGrid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MEM09002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Interpret technical drawing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MEM100</w:t>
            </w:r>
            <w:r w:rsidRPr="00672F01">
              <w:t>02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Terminate and connect electrical wiring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MEM12002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Perform electrical/electronic measurement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MEM13015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Work safely and effectively in manufacturing and engineering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MEM16006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Organise and communicate information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MEM18001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BodyText"/>
            </w:pPr>
            <w:r w:rsidRPr="00672F01">
              <w:t>Use hand tools</w:t>
            </w:r>
          </w:p>
        </w:tc>
      </w:tr>
    </w:tbl>
    <w:p w:rsidR="00000000" w:rsidRPr="00672F01" w:rsidP="00672F01">
      <w:pPr>
        <w:pStyle w:val="BodyText"/>
      </w:pPr>
    </w:p>
    <w:p w:rsidR="00000000" w:rsidRPr="00672F01" w:rsidP="00672F01">
      <w:pPr>
        <w:pStyle w:val="AllowPageBreak"/>
      </w:pPr>
    </w:p>
    <w:p w:rsidR="00000000" w:rsidRPr="00672F01" w:rsidP="00672F01">
      <w:pPr>
        <w:pStyle w:val="Heading1"/>
      </w:pPr>
      <w:bookmarkStart w:id="4" w:name="O_941262"/>
      <w:bookmarkEnd w:id="4"/>
      <w:r w:rsidRPr="00672F01">
        <w:t>Competency Field</w:t>
      </w:r>
    </w:p>
    <w:p w:rsidR="00000000" w:rsidRPr="00672F01" w:rsidP="00A96D10">
      <w:pPr>
        <w:pStyle w:val="BodyText"/>
      </w:pPr>
      <w:r w:rsidRPr="00672F01">
        <w:t>Maintenance and diagnostics</w:t>
      </w:r>
    </w:p>
    <w:p w:rsidR="00000000" w:rsidRPr="00672F01" w:rsidP="00672F01">
      <w:pPr>
        <w:pStyle w:val="Heading1"/>
      </w:pPr>
      <w:bookmarkStart w:id="5" w:name="O_941260"/>
      <w:bookmarkEnd w:id="5"/>
      <w:r w:rsidRPr="00672F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Performance criteria describe the performance needed to demonstrate achievement of the element.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BodyText"/>
            </w:pPr>
            <w:r w:rsidRPr="00672F01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Follow standard operating procedures (SOPs)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Comply with work health and safety (WHS) requirements at all times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Use appropriate personal protective equipment (PPE) in accordance with SOPs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Identify job requirements from specifications, drawings, job sheets or work instructions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BodyText"/>
            </w:pPr>
            <w:r w:rsidRPr="00672F01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Disconnect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Determine electrical characteristics of equipment and circuit by reference to circuit drawings, schematics, reference manuals, equipment specifications, identification plate and/or consultation with technical adviser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Determine and record equipment c</w:t>
            </w:r>
            <w:r w:rsidRPr="00672F01">
              <w:t xml:space="preserve">haracteristics, including direction of rotation, where appropriate 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Identify point/s of electrical isolation and isolate equipment in accordance with procedures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Use all lock-off equipment and signage requirements appropriately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Prove electrical isolation using appropriate techniques, procedures and test equipment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 xml:space="preserve">Note, record and label conductor layout 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2.7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 xml:space="preserve">Disconnect conductors and terminate and make safe disconnected cables/connections 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BodyText"/>
            </w:pPr>
            <w:r w:rsidRPr="00672F01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Connect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Identify characteristics of the equipment to be connected and determine connection requirements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Check circuit for safe isolation using appropriate test equipment, procedures and techniques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 xml:space="preserve">Check connections and prepare conductors for termination 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Connect conductors to equipment in accordance with specifications and regulatory requirements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 xml:space="preserve">Fasten/seal all cables/wires/conduit to specifications 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Remove all lock-off equipme</w:t>
            </w:r>
            <w:r w:rsidRPr="00672F01">
              <w:t xml:space="preserve">nt and signage 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Check and test equipment and circuit for compliance with specifications and regulatory and legislative requirements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BodyText"/>
            </w:pPr>
            <w:r w:rsidRPr="00672F01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Perform emergency first aid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Assess situation to identify points of danger to the injured person and potential rescuer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Undertake rescue/recovery of injured person or provide assistance to injured person in accordance with recognised standards/procedures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Make contact with the appropriate medical and rescue authorities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BodyText"/>
            </w:pPr>
            <w:r w:rsidRPr="00672F01">
              <w:t>Record details of first aid given</w:t>
            </w:r>
          </w:p>
        </w:tc>
      </w:tr>
    </w:tbl>
    <w:p w:rsidR="00000000" w:rsidRPr="00672F01" w:rsidP="00672F01">
      <w:pPr>
        <w:pStyle w:val="BodyText"/>
      </w:pPr>
    </w:p>
    <w:p w:rsidR="00000000" w:rsidRPr="00672F01" w:rsidP="00672F01">
      <w:pPr>
        <w:pStyle w:val="AllowPageBreak"/>
      </w:pPr>
    </w:p>
    <w:p w:rsidR="00000000" w:rsidRPr="00672F01" w:rsidP="00672F01">
      <w:pPr>
        <w:pStyle w:val="Heading1"/>
      </w:pPr>
      <w:bookmarkStart w:id="6" w:name="O_941259"/>
      <w:bookmarkEnd w:id="6"/>
      <w:r w:rsidRPr="00672F01">
        <w:t>Foundation Skills</w:t>
      </w:r>
    </w:p>
    <w:p w:rsidR="00000000" w:rsidRPr="00672F01" w:rsidP="00A96D10">
      <w:pPr>
        <w:pStyle w:val="BodyText"/>
      </w:pPr>
      <w:r w:rsidRPr="00672F0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72F01" w:rsidP="00A96D10">
      <w:pPr>
        <w:pStyle w:val="BodyText"/>
      </w:pPr>
      <w:r w:rsidRPr="00672F01">
        <w:t xml:space="preserve">Foundation skills essential to performance are explicit in the performance criteria </w:t>
      </w:r>
      <w:r w:rsidRPr="00672F01">
        <w:t>of this unit of competency.</w:t>
      </w:r>
    </w:p>
    <w:p w:rsidR="00000000" w:rsidRPr="00672F01" w:rsidP="00672F01">
      <w:pPr>
        <w:pStyle w:val="Heading1"/>
      </w:pPr>
      <w:bookmarkStart w:id="7" w:name="O_941258"/>
      <w:bookmarkEnd w:id="7"/>
      <w:r w:rsidRPr="00672F0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t>This field allows for different work environments and conditions that may affect performance. Essential operating conditions that may be present (depending on the work situation, needs of the</w:t>
            </w:r>
            <w:r w:rsidRPr="00672F01">
              <w:t xml:space="preserve"> candidate, accessibility of the item, and local industry and regional contexts) are included.</w:t>
            </w: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Appropriate techniques and procedures include:</w:t>
            </w:r>
            <w:r w:rsidRPr="00672F01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ListBullet"/>
            </w:pPr>
            <w:r w:rsidRPr="00672F01">
              <w:t>clearances for safe approach as mandated by statutory authorities</w:t>
            </w:r>
          </w:p>
          <w:p w:rsidR="00000000" w:rsidP="00672F01">
            <w:pPr>
              <w:pStyle w:val="BodyText"/>
              <w:rPr>
                <w:lang w:val="en-NZ"/>
              </w:rPr>
            </w:pP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Electrical isolation includes:</w:t>
            </w:r>
            <w:r w:rsidRPr="00672F01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ListBullet"/>
            </w:pPr>
            <w:r w:rsidRPr="00672F01">
              <w:t>isolating supply for safe disconnection of all electrical power to equipment supply circuit with switch circuit breaker or fuses on circuits/equipment at voltage levels above 1000 volts a.c. and 1500 volts d.c.</w:t>
            </w:r>
          </w:p>
          <w:p w:rsidR="00000000" w:rsidP="00672F01">
            <w:pPr>
              <w:pStyle w:val="BodyText"/>
              <w:rPr>
                <w:lang w:val="en-NZ"/>
              </w:rPr>
            </w:pP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Test equipment and tools include, in accord</w:t>
            </w:r>
            <w:r w:rsidRPr="00672F01">
              <w:rPr>
                <w:rStyle w:val="SpecialBold"/>
              </w:rPr>
              <w:t>ance with voltage and fault limiting requirements,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ListBullet"/>
            </w:pPr>
            <w:r w:rsidRPr="00672F01">
              <w:t>appropriate proving dead meters</w:t>
            </w:r>
          </w:p>
          <w:p w:rsidR="00000000" w:rsidRPr="00672F01" w:rsidP="00672F01">
            <w:pPr>
              <w:pStyle w:val="ListBullet"/>
            </w:pPr>
            <w:r w:rsidRPr="00672F01">
              <w:t>high potential testers</w:t>
            </w:r>
          </w:p>
          <w:p w:rsidR="00000000" w:rsidRPr="00672F01" w:rsidP="00672F01">
            <w:pPr>
              <w:pStyle w:val="ListBullet"/>
            </w:pPr>
            <w:r w:rsidRPr="00672F01">
              <w:t xml:space="preserve">voltmeters </w:t>
            </w:r>
          </w:p>
          <w:p w:rsidR="00000000" w:rsidP="00672F01">
            <w:pPr>
              <w:pStyle w:val="BodyText"/>
              <w:rPr>
                <w:lang w:val="en-NZ"/>
              </w:rPr>
            </w:pPr>
          </w:p>
        </w:tc>
      </w:tr>
      <w:tr w:rsidTr="00672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01">
            <w:pPr>
              <w:pStyle w:val="BodyText"/>
              <w:rPr>
                <w:lang w:val="en-NZ"/>
              </w:rPr>
            </w:pPr>
            <w:r w:rsidRPr="00672F01">
              <w:rPr>
                <w:rStyle w:val="SpecialBold"/>
              </w:rPr>
              <w:t>Signage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01" w:rsidP="00672F01">
            <w:pPr>
              <w:pStyle w:val="ListBullet"/>
            </w:pPr>
            <w:r w:rsidRPr="00672F01">
              <w:t>tags</w:t>
            </w:r>
          </w:p>
          <w:p w:rsidR="00000000" w:rsidRPr="00672F01" w:rsidP="00672F01">
            <w:pPr>
              <w:pStyle w:val="ListBullet"/>
            </w:pPr>
            <w:r w:rsidRPr="00672F01">
              <w:t>access permit holders</w:t>
            </w:r>
          </w:p>
          <w:p w:rsidR="00000000" w:rsidRPr="00672F01" w:rsidP="00672F01">
            <w:pPr>
              <w:pStyle w:val="ListBullet"/>
            </w:pPr>
            <w:r w:rsidRPr="00672F01">
              <w:t>restricted access sign</w:t>
            </w:r>
            <w:r w:rsidRPr="00672F01">
              <w:t>s</w:t>
            </w:r>
          </w:p>
          <w:p w:rsidR="00000000" w:rsidRPr="00672F01" w:rsidP="00672F01">
            <w:pPr>
              <w:pStyle w:val="BodyText"/>
            </w:pPr>
          </w:p>
        </w:tc>
      </w:tr>
    </w:tbl>
    <w:p w:rsidR="00000000" w:rsidRPr="00672F01" w:rsidP="00672F01">
      <w:pPr>
        <w:pStyle w:val="BodyText"/>
      </w:pPr>
    </w:p>
    <w:p w:rsidR="00000000" w:rsidRPr="00672F01" w:rsidP="00672F01">
      <w:pPr>
        <w:pStyle w:val="AllowPageBreak"/>
      </w:pPr>
    </w:p>
    <w:p w:rsidR="00000000" w:rsidRPr="00672F01" w:rsidP="00672F01">
      <w:pPr>
        <w:pStyle w:val="Heading1"/>
      </w:pPr>
      <w:bookmarkStart w:id="8" w:name="O_941257"/>
      <w:bookmarkEnd w:id="8"/>
      <w:r w:rsidRPr="00672F01">
        <w:t>Unit Mapping Information</w:t>
      </w:r>
    </w:p>
    <w:p w:rsidR="00000000" w:rsidRPr="00672F01" w:rsidP="00A96D10">
      <w:pPr>
        <w:pStyle w:val="BodyText"/>
      </w:pPr>
      <w:r w:rsidRPr="00672F01">
        <w:t xml:space="preserve">Release 1. Supersedes and is equivalent to MEM18050C Disconnect/reconnect fixed wired equipment over 1000 volts a.c./1500 volts d.c. </w:t>
      </w:r>
    </w:p>
    <w:p w:rsidR="00000000" w:rsidRPr="00672F01" w:rsidP="00672F01">
      <w:pPr>
        <w:pStyle w:val="Heading1"/>
      </w:pPr>
      <w:bookmarkStart w:id="9" w:name="O_941250"/>
      <w:bookmarkEnd w:id="9"/>
      <w:r w:rsidRPr="00672F01">
        <w:t>Links</w:t>
      </w:r>
    </w:p>
    <w:p w:rsidR="00000000" w:rsidRPr="00672F01" w:rsidP="00A96D10">
      <w:pPr>
        <w:pStyle w:val="BodyText"/>
      </w:pPr>
      <w:r w:rsidRPr="00672F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56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2F01" w:rsidP="00672F01"/>
    <w:sectPr w:rsidSect="00672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01" w:rsidRPr="00A96D10" w:rsidP="00A96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0" w:rsidP="00672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D10" w:rsidP="00672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6D10" w:rsidP="00672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F01" w:rsidRPr="00A96D10" w:rsidP="00A96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0" w:rsidRPr="002D2AF8" w:rsidP="00672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MEM18050 Disconnect/reconnect fixed wired equipment over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96D10" w:rsidP="00672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6A9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63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F01"/>
  </w:style>
  <w:style w:type="character" w:customStyle="1" w:styleId="Heading1Char">
    <w:name w:val="Heading 1 Char"/>
    <w:basedOn w:val="DefaultParagraphFont"/>
    <w:link w:val="Heading1"/>
    <w:rsid w:val="00672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F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F01"/>
    <w:rPr>
      <w:b/>
      <w:spacing w:val="0"/>
    </w:rPr>
  </w:style>
  <w:style w:type="paragraph" w:customStyle="1" w:styleId="SuperHeading">
    <w:name w:val="SuperHeading"/>
    <w:basedOn w:val="Normal"/>
    <w:rsid w:val="00672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F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F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F01"/>
    <w:rPr>
      <w:i/>
    </w:rPr>
  </w:style>
  <w:style w:type="paragraph" w:styleId="Caption">
    <w:name w:val="caption"/>
    <w:basedOn w:val="BodyText"/>
    <w:next w:val="Normal"/>
    <w:qFormat/>
    <w:rsid w:val="00672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F01"/>
  </w:style>
  <w:style w:type="paragraph" w:styleId="TableofFigures">
    <w:name w:val="table of figures"/>
    <w:basedOn w:val="Normal"/>
    <w:next w:val="Normal"/>
    <w:semiHidden/>
    <w:rsid w:val="00672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F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F01"/>
    <w:rPr>
      <w:rFonts w:ascii="Wingdings" w:hAnsi="Wingdings"/>
    </w:rPr>
  </w:style>
  <w:style w:type="paragraph" w:customStyle="1" w:styleId="TableHeading">
    <w:name w:val="Table Heading"/>
    <w:basedOn w:val="HeadingBase"/>
    <w:rsid w:val="00672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F01"/>
    <w:rPr>
      <w:color w:val="0033CC"/>
      <w:u w:val="none"/>
    </w:rPr>
  </w:style>
  <w:style w:type="paragraph" w:customStyle="1" w:styleId="BodyTextRight">
    <w:name w:val="Body Text Right"/>
    <w:basedOn w:val="BodyText"/>
    <w:rsid w:val="00672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F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F01"/>
    <w:rPr>
      <w:sz w:val="32"/>
    </w:rPr>
  </w:style>
  <w:style w:type="paragraph" w:customStyle="1" w:styleId="HeadingProcedure">
    <w:name w:val="Heading Procedure"/>
    <w:basedOn w:val="HeadingBase"/>
    <w:next w:val="Normal"/>
    <w:rsid w:val="00672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F01"/>
    <w:pPr>
      <w:spacing w:before="60" w:after="60"/>
    </w:pPr>
  </w:style>
  <w:style w:type="paragraph" w:styleId="ListContinue">
    <w:name w:val="List Continue"/>
    <w:basedOn w:val="List"/>
    <w:rsid w:val="00672F01"/>
    <w:pPr>
      <w:ind w:firstLine="0"/>
    </w:pPr>
  </w:style>
  <w:style w:type="paragraph" w:customStyle="1" w:styleId="ListNote">
    <w:name w:val="List Note"/>
    <w:basedOn w:val="List"/>
    <w:rsid w:val="00672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F01"/>
    <w:rPr>
      <w:rFonts w:ascii="Courier New" w:hAnsi="Courier New"/>
    </w:rPr>
  </w:style>
  <w:style w:type="paragraph" w:customStyle="1" w:styleId="NoteBullet">
    <w:name w:val="Note Bullet"/>
    <w:basedOn w:val="Note"/>
    <w:rsid w:val="00672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F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F01"/>
    <w:rPr>
      <w:b/>
      <w:smallCaps/>
    </w:rPr>
  </w:style>
  <w:style w:type="paragraph" w:customStyle="1" w:styleId="TableListNumber">
    <w:name w:val="Table List Number"/>
    <w:basedOn w:val="ListNumber"/>
    <w:rsid w:val="00672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F01"/>
    <w:pPr>
      <w:numPr>
        <w:numId w:val="8"/>
      </w:numPr>
    </w:pPr>
  </w:style>
  <w:style w:type="paragraph" w:customStyle="1" w:styleId="ListAlpha2">
    <w:name w:val="List Alpha 2"/>
    <w:basedOn w:val="List2"/>
    <w:rsid w:val="00672F01"/>
    <w:pPr>
      <w:numPr>
        <w:numId w:val="7"/>
      </w:numPr>
    </w:pPr>
  </w:style>
  <w:style w:type="paragraph" w:styleId="List2">
    <w:name w:val="List 2"/>
    <w:basedOn w:val="BodyText"/>
    <w:rsid w:val="00672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F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F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F01"/>
    <w:pPr>
      <w:numPr>
        <w:numId w:val="3"/>
      </w:numPr>
    </w:pPr>
  </w:style>
  <w:style w:type="paragraph" w:styleId="ListContinue2">
    <w:name w:val="List Continue 2"/>
    <w:basedOn w:val="List2"/>
    <w:rsid w:val="00672F01"/>
    <w:pPr>
      <w:ind w:firstLine="0"/>
    </w:pPr>
  </w:style>
  <w:style w:type="paragraph" w:styleId="ListContinue3">
    <w:name w:val="List Continue 3"/>
    <w:basedOn w:val="List3"/>
    <w:rsid w:val="00672F01"/>
    <w:pPr>
      <w:ind w:left="1021" w:firstLine="0"/>
    </w:pPr>
  </w:style>
  <w:style w:type="paragraph" w:styleId="ListContinue4">
    <w:name w:val="List Continue 4"/>
    <w:basedOn w:val="List4"/>
    <w:rsid w:val="00672F01"/>
    <w:pPr>
      <w:ind w:firstLine="0"/>
    </w:pPr>
  </w:style>
  <w:style w:type="paragraph" w:styleId="ListContinue5">
    <w:name w:val="List Continue 5"/>
    <w:basedOn w:val="List5"/>
    <w:rsid w:val="00672F01"/>
    <w:pPr>
      <w:ind w:firstLine="0"/>
    </w:pPr>
  </w:style>
  <w:style w:type="paragraph" w:styleId="ListNumber3">
    <w:name w:val="List Number 3"/>
    <w:basedOn w:val="List3"/>
    <w:rsid w:val="00672F01"/>
    <w:pPr>
      <w:numPr>
        <w:numId w:val="4"/>
      </w:numPr>
    </w:pPr>
  </w:style>
  <w:style w:type="paragraph" w:styleId="ListNumber4">
    <w:name w:val="List Number 4"/>
    <w:basedOn w:val="List4"/>
    <w:rsid w:val="00672F01"/>
    <w:pPr>
      <w:numPr>
        <w:numId w:val="5"/>
      </w:numPr>
    </w:pPr>
  </w:style>
  <w:style w:type="paragraph" w:styleId="ListNumber5">
    <w:name w:val="List Number 5"/>
    <w:basedOn w:val="List5"/>
    <w:rsid w:val="00672F01"/>
    <w:pPr>
      <w:numPr>
        <w:numId w:val="6"/>
      </w:numPr>
    </w:pPr>
  </w:style>
  <w:style w:type="paragraph" w:styleId="BlockText">
    <w:name w:val="Block Text"/>
    <w:basedOn w:val="Normal"/>
    <w:rsid w:val="00672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F01"/>
    <w:rPr>
      <w:sz w:val="16"/>
      <w:vertAlign w:val="superscript"/>
    </w:rPr>
  </w:style>
  <w:style w:type="character" w:customStyle="1" w:styleId="Symbols">
    <w:name w:val="Symbols"/>
    <w:basedOn w:val="DefaultParagraphFont"/>
    <w:rsid w:val="00672F01"/>
    <w:rPr>
      <w:rFonts w:ascii="Symbol" w:hAnsi="Symbol"/>
    </w:rPr>
  </w:style>
  <w:style w:type="character" w:customStyle="1" w:styleId="MenuOptions">
    <w:name w:val="Menu Options"/>
    <w:basedOn w:val="DefaultParagraphFont"/>
    <w:rsid w:val="00672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F01"/>
    <w:rPr>
      <w:b/>
    </w:rPr>
  </w:style>
  <w:style w:type="character" w:customStyle="1" w:styleId="Underlined">
    <w:name w:val="Underlined"/>
    <w:basedOn w:val="DefaultParagraphFont"/>
    <w:rsid w:val="00672F01"/>
    <w:rPr>
      <w:u w:val="single"/>
    </w:rPr>
  </w:style>
  <w:style w:type="paragraph" w:customStyle="1" w:styleId="TableBodyTextRight">
    <w:name w:val="Table Body Text Right"/>
    <w:basedOn w:val="TableBodyText"/>
    <w:rsid w:val="00672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F01"/>
    <w:rPr>
      <w:sz w:val="18"/>
    </w:rPr>
  </w:style>
  <w:style w:type="paragraph" w:customStyle="1" w:styleId="BodySmallRight">
    <w:name w:val="Body Small Right"/>
    <w:basedOn w:val="BodyTextRight"/>
    <w:rsid w:val="00672F01"/>
    <w:rPr>
      <w:sz w:val="18"/>
      <w:szCs w:val="18"/>
    </w:rPr>
  </w:style>
  <w:style w:type="paragraph" w:customStyle="1" w:styleId="MarginEdition">
    <w:name w:val="Margin Edition"/>
    <w:basedOn w:val="MarginNote"/>
    <w:rsid w:val="00672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F01"/>
    <w:rPr>
      <w:sz w:val="2"/>
      <w:szCs w:val="2"/>
    </w:rPr>
  </w:style>
  <w:style w:type="character" w:customStyle="1" w:styleId="Small">
    <w:name w:val="Small"/>
    <w:basedOn w:val="DefaultParagraphFont"/>
    <w:rsid w:val="00672F01"/>
    <w:rPr>
      <w:sz w:val="16"/>
    </w:rPr>
  </w:style>
  <w:style w:type="paragraph" w:customStyle="1" w:styleId="WideTable">
    <w:name w:val="Wide Table"/>
    <w:basedOn w:val="Normal"/>
    <w:rsid w:val="00672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F01"/>
  </w:style>
  <w:style w:type="paragraph" w:styleId="Quote">
    <w:name w:val="Quote"/>
    <w:basedOn w:val="Heading1"/>
    <w:link w:val="QuoteChar"/>
    <w:qFormat/>
    <w:rsid w:val="00672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F01"/>
    <w:pPr>
      <w:pageBreakBefore/>
    </w:pPr>
  </w:style>
  <w:style w:type="paragraph" w:customStyle="1" w:styleId="Border">
    <w:name w:val="Border"/>
    <w:basedOn w:val="Normal"/>
    <w:qFormat/>
    <w:rsid w:val="00672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F01"/>
    <w:rPr>
      <w:u w:val="single"/>
    </w:rPr>
  </w:style>
  <w:style w:type="character" w:customStyle="1" w:styleId="BoldandItalics">
    <w:name w:val="Bold and Italics"/>
    <w:qFormat/>
    <w:rsid w:val="00672F01"/>
    <w:rPr>
      <w:b/>
      <w:i/>
      <w:u w:val="none"/>
    </w:rPr>
  </w:style>
  <w:style w:type="paragraph" w:styleId="BalloonText">
    <w:name w:val="Balloon Text"/>
    <w:basedOn w:val="Normal"/>
    <w:link w:val="BalloonTextChar"/>
    <w:rsid w:val="00672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F01"/>
    <w:pPr>
      <w:spacing w:before="0" w:after="0"/>
    </w:pPr>
  </w:style>
  <w:style w:type="paragraph" w:customStyle="1" w:styleId="BodyTextBold">
    <w:name w:val="Body Text Bold"/>
    <w:basedOn w:val="BodyText"/>
    <w:qFormat/>
    <w:rsid w:val="00672F01"/>
    <w:rPr>
      <w:b/>
    </w:rPr>
  </w:style>
  <w:style w:type="character" w:styleId="Hyperlink">
    <w:name w:val="Hyperlink"/>
    <w:basedOn w:val="DefaultParagraphFont"/>
    <w:uiPriority w:val="99"/>
    <w:unhideWhenUsed/>
    <w:rsid w:val="00A96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4669</Characters>
  <Application>Microsoft Office Word</Application>
  <DocSecurity>0</DocSecurity>
  <Lines>233</Lines>
  <Paragraphs>122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MEM18050 Disconnect/reconnect fixed wired equipment over 1000 volts a.c./1500 volts d.c.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