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6473" w:rsidP="009F64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MEM18049 Disconnect/reconnect fixed wired equipment up to 1000 volts a.c./1500 volts d.c.</w:t>
      </w:r>
      <w:r>
        <w:fldChar w:fldCharType="end"/>
      </w:r>
    </w:p>
    <w:p w:rsidR="009F6473" w:rsidP="009F6473">
      <w:pPr>
        <w:pStyle w:val="Version"/>
        <w:sectPr w:rsidSect="003B5B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5BE9" w:rsidP="003B5BE9">
      <w:pPr>
        <w:pStyle w:val="SuperHeading"/>
      </w:pPr>
      <w:r w:rsidRPr="003B5BE9">
        <w:t>Assessment Requirements for MEM18049 Disconnect/reconnect fixed wired equipment up to 1000 volts a.c./1500 volts d.c.</w:t>
      </w:r>
    </w:p>
    <w:p w:rsidR="00000000" w:rsidRPr="003B5BE9" w:rsidP="003B5BE9">
      <w:pPr>
        <w:pStyle w:val="Heading1"/>
      </w:pPr>
      <w:bookmarkStart w:id="1" w:name="O_941233"/>
      <w:bookmarkEnd w:id="1"/>
      <w:r w:rsidRPr="003B5BE9">
        <w:t>Modification History</w:t>
      </w:r>
    </w:p>
    <w:p w:rsidR="00000000" w:rsidRPr="003B5BE9" w:rsidP="009F6473">
      <w:pPr>
        <w:pStyle w:val="BodyText"/>
      </w:pPr>
      <w:r w:rsidRPr="003B5BE9">
        <w:t>Relea</w:t>
      </w:r>
      <w:r w:rsidRPr="003B5BE9">
        <w:t xml:space="preserve">se 1. Supersedes and is equivalent to MEM18049C Disconnect/reconnect fixed wired equipment up to 1000 volts a.c./1500 volts d.c. </w:t>
      </w:r>
    </w:p>
    <w:p w:rsidR="00000000" w:rsidRPr="003B5BE9" w:rsidP="003B5BE9">
      <w:pPr>
        <w:pStyle w:val="Heading1"/>
      </w:pPr>
      <w:bookmarkStart w:id="2" w:name="O_941236"/>
      <w:bookmarkEnd w:id="2"/>
      <w:r w:rsidRPr="003B5BE9">
        <w:t>Performance Evidence</w:t>
      </w:r>
    </w:p>
    <w:p w:rsidR="00000000" w:rsidRPr="003B5BE9" w:rsidP="009F6473">
      <w:pPr>
        <w:pStyle w:val="BodyText"/>
      </w:pPr>
      <w:r w:rsidRPr="003B5BE9">
        <w:t>Evidence required to demonstrate competence in this unit must be relevant to and satisfy</w:t>
      </w:r>
      <w:r w:rsidRPr="003B5BE9">
        <w:t xml:space="preserve"> the requirements of the elements and performance criteria on at least two (2) occasions and include:</w:t>
      </w:r>
    </w:p>
    <w:p w:rsidR="00000000" w:rsidRPr="003B5BE9" w:rsidP="003B5BE9">
      <w:pPr>
        <w:pStyle w:val="ListBullet"/>
      </w:pPr>
      <w:r w:rsidRPr="003B5BE9">
        <w:t xml:space="preserve">following work instructions, standard operating procedures (SOPs) and safe work practices </w:t>
      </w:r>
    </w:p>
    <w:p w:rsidR="00000000" w:rsidRPr="003B5BE9" w:rsidP="003B5BE9">
      <w:pPr>
        <w:pStyle w:val="ListBullet"/>
      </w:pPr>
      <w:r w:rsidRPr="003B5BE9">
        <w:t>identifying and interpreting specifications, charts, lists, ci</w:t>
      </w:r>
      <w:r w:rsidRPr="003B5BE9">
        <w:t>rcuit drawings, schematics, regulatory and legislative requirements to disconnect/reconnect fixed wired equipment up to 1000 volts a.c./1500 volts d.c.</w:t>
      </w:r>
    </w:p>
    <w:p w:rsidR="00000000" w:rsidRPr="003B5BE9" w:rsidP="003B5BE9">
      <w:pPr>
        <w:pStyle w:val="ListBullet"/>
      </w:pPr>
      <w:r w:rsidRPr="003B5BE9">
        <w:t xml:space="preserve">checking that the electrical equipment is isolated and tagged where necessary in strict accordance with </w:t>
      </w:r>
      <w:r w:rsidRPr="003B5BE9">
        <w:t xml:space="preserve">work health and safety (WHS) requirements and procedures using appropriate lock-off equipment and tags/signs </w:t>
      </w:r>
    </w:p>
    <w:p w:rsidR="00000000" w:rsidRPr="003B5BE9" w:rsidP="003B5BE9">
      <w:pPr>
        <w:pStyle w:val="ListBullet"/>
      </w:pPr>
      <w:r w:rsidRPr="003B5BE9">
        <w:t>disconnecting equipment by labelling and recording conductors and making safe disconnected cables/connections using appropriate tools, test equipm</w:t>
      </w:r>
      <w:r w:rsidRPr="003B5BE9">
        <w:t xml:space="preserve">ent, procedures and techniques </w:t>
      </w:r>
    </w:p>
    <w:p w:rsidR="00000000" w:rsidRPr="003B5BE9" w:rsidP="003B5BE9">
      <w:pPr>
        <w:pStyle w:val="ListBullet"/>
      </w:pPr>
      <w:r w:rsidRPr="003B5BE9">
        <w:t>confirming isolation prior to reconnecting fixed wired equipment and checking connections and preparing conductors for termination in accordance with manufacturers’ specifications and regulatory requirements</w:t>
      </w:r>
    </w:p>
    <w:p w:rsidR="00000000" w:rsidRPr="003B5BE9" w:rsidP="003B5BE9">
      <w:pPr>
        <w:pStyle w:val="ListBullet"/>
      </w:pPr>
      <w:r w:rsidRPr="003B5BE9">
        <w:t>connecting condu</w:t>
      </w:r>
      <w:r w:rsidRPr="003B5BE9">
        <w:t>ctors to equipment and fasten/seal cables/wires/conduits using appropriate procedures and tools to relevant specifications and regulatory requirements</w:t>
      </w:r>
    </w:p>
    <w:p w:rsidR="00000000" w:rsidRPr="003B5BE9" w:rsidP="003B5BE9">
      <w:pPr>
        <w:pStyle w:val="ListBullet"/>
      </w:pPr>
      <w:r w:rsidRPr="003B5BE9">
        <w:t>testing terminated cables to ensure continuity and insulation resistance and complying with following req</w:t>
      </w:r>
      <w:r w:rsidRPr="003B5BE9">
        <w:t>uirements:</w:t>
      </w:r>
    </w:p>
    <w:p w:rsidR="00000000" w:rsidRPr="003B5BE9" w:rsidP="003B5BE9">
      <w:pPr>
        <w:pStyle w:val="ListBullet2"/>
      </w:pPr>
      <w:r w:rsidRPr="003B5BE9">
        <w:t>checking continuity of the protective earth conductor to determine whether it is sufficiently low</w:t>
      </w:r>
    </w:p>
    <w:p w:rsidR="00000000" w:rsidRPr="003B5BE9" w:rsidP="003B5BE9">
      <w:pPr>
        <w:pStyle w:val="ListBullet2"/>
      </w:pPr>
      <w:r w:rsidRPr="003B5BE9">
        <w:t>testing the resistance between the protective earth conductor and the neutral conductor to determine whether it is sufficiently low – n</w:t>
      </w:r>
      <w:r w:rsidRPr="003B5BE9">
        <w:t>ot greater than 2 Ohms</w:t>
      </w:r>
    </w:p>
    <w:p w:rsidR="00000000" w:rsidRPr="003B5BE9" w:rsidP="003B5BE9">
      <w:pPr>
        <w:pStyle w:val="ListBullet2"/>
      </w:pPr>
      <w:r w:rsidRPr="003B5BE9">
        <w:t xml:space="preserve">testing the insulation resistance of active conductors to confirm that it is greater than 1 Megohm  </w:t>
      </w:r>
    </w:p>
    <w:p w:rsidR="00000000" w:rsidRPr="003B5BE9" w:rsidP="003B5BE9">
      <w:pPr>
        <w:pStyle w:val="ListBullet"/>
      </w:pPr>
      <w:r w:rsidRPr="003B5BE9">
        <w:t>removing all lock-off devices and signage and checking/testing equipment and circuits for compliance to specifications</w:t>
      </w:r>
    </w:p>
    <w:p w:rsidR="00000000" w:rsidRPr="003B5BE9" w:rsidP="003B5BE9">
      <w:pPr>
        <w:pStyle w:val="ListBullet"/>
      </w:pPr>
      <w:r w:rsidRPr="003B5BE9">
        <w:t>rescuing/rec</w:t>
      </w:r>
      <w:r w:rsidRPr="003B5BE9">
        <w:t>overing of injured person in accordance with appropriate standards/procedures and providing first aid, where appropriate, including contacting the appropriate medical and rescue authorities</w:t>
      </w:r>
    </w:p>
    <w:p w:rsidR="00000000" w:rsidRPr="003B5BE9" w:rsidP="003B5BE9">
      <w:pPr>
        <w:pStyle w:val="ListBullet"/>
      </w:pPr>
      <w:r w:rsidRPr="003B5BE9">
        <w:t>recording details of first aid given.</w:t>
      </w:r>
    </w:p>
    <w:p w:rsidR="00000000" w:rsidRPr="003B5BE9" w:rsidP="003B5BE9">
      <w:pPr>
        <w:pStyle w:val="AllowPageBreak"/>
      </w:pPr>
    </w:p>
    <w:p w:rsidR="00000000" w:rsidRPr="003B5BE9" w:rsidP="003B5BE9">
      <w:pPr>
        <w:pStyle w:val="Heading1"/>
      </w:pPr>
      <w:bookmarkStart w:id="3" w:name="O_941235"/>
      <w:bookmarkEnd w:id="3"/>
      <w:r w:rsidRPr="003B5BE9">
        <w:t>Knowledge E</w:t>
      </w:r>
      <w:r w:rsidRPr="003B5BE9">
        <w:t>vidence</w:t>
      </w:r>
    </w:p>
    <w:p w:rsidR="00000000" w:rsidRPr="003B5BE9" w:rsidP="009F6473">
      <w:pPr>
        <w:pStyle w:val="BodyText"/>
      </w:pPr>
      <w:r w:rsidRPr="003B5BE9">
        <w:t>Evidence required to demonstrate the required knowledge for this unit must be relevant to and satisfy the requirements of the elements and performance criteria and include knowledge of:</w:t>
      </w:r>
    </w:p>
    <w:p w:rsidR="00000000" w:rsidRPr="003B5BE9" w:rsidP="003B5BE9">
      <w:pPr>
        <w:pStyle w:val="ListBullet"/>
      </w:pPr>
      <w:r w:rsidRPr="003B5BE9">
        <w:t>safe work practices and procedures and use of personal protec</w:t>
      </w:r>
      <w:r w:rsidRPr="003B5BE9">
        <w:t>tive equipment (PPE)</w:t>
      </w:r>
    </w:p>
    <w:p w:rsidR="00000000" w:rsidRPr="003B5BE9" w:rsidP="003B5BE9">
      <w:pPr>
        <w:pStyle w:val="ListBullet"/>
      </w:pPr>
      <w:r w:rsidRPr="003B5BE9">
        <w:t>basic knowledge of electrical theory for the operation of the circuit/equipment</w:t>
      </w:r>
    </w:p>
    <w:p w:rsidR="00000000" w:rsidRPr="003B5BE9" w:rsidP="003B5BE9">
      <w:pPr>
        <w:pStyle w:val="ListBullet"/>
      </w:pPr>
      <w:r w:rsidRPr="003B5BE9">
        <w:t>relevant regulatory requirements</w:t>
      </w:r>
    </w:p>
    <w:p w:rsidR="00000000" w:rsidRPr="003B5BE9" w:rsidP="003B5BE9">
      <w:pPr>
        <w:pStyle w:val="ListBullet"/>
      </w:pPr>
      <w:r w:rsidRPr="003B5BE9">
        <w:t>procedures for:</w:t>
      </w:r>
    </w:p>
    <w:p w:rsidR="00000000" w:rsidRPr="003B5BE9" w:rsidP="003B5BE9">
      <w:pPr>
        <w:pStyle w:val="ListBullet2"/>
      </w:pPr>
      <w:r w:rsidRPr="003B5BE9">
        <w:t>determining and recording equipment characteristics</w:t>
      </w:r>
    </w:p>
    <w:p w:rsidR="00000000" w:rsidRPr="003B5BE9" w:rsidP="003B5BE9">
      <w:pPr>
        <w:pStyle w:val="ListBullet2"/>
      </w:pPr>
      <w:r w:rsidRPr="003B5BE9">
        <w:t>proving and removing electrical isolation</w:t>
      </w:r>
    </w:p>
    <w:p w:rsidR="00000000" w:rsidRPr="003B5BE9" w:rsidP="003B5BE9">
      <w:pPr>
        <w:pStyle w:val="ListBullet2"/>
      </w:pPr>
      <w:r w:rsidRPr="003B5BE9">
        <w:t>labelling conductors and recording conductor layout</w:t>
      </w:r>
    </w:p>
    <w:p w:rsidR="00000000" w:rsidRPr="003B5BE9" w:rsidP="003B5BE9">
      <w:pPr>
        <w:pStyle w:val="ListBullet2"/>
      </w:pPr>
      <w:r w:rsidRPr="003B5BE9">
        <w:t>disconnecting conductors and terminating disconnected cables/connections</w:t>
      </w:r>
    </w:p>
    <w:p w:rsidR="00000000" w:rsidRPr="003B5BE9" w:rsidP="003B5BE9">
      <w:pPr>
        <w:pStyle w:val="ListBullet2"/>
      </w:pPr>
      <w:r w:rsidRPr="003B5BE9">
        <w:t>terminating conductors and checking connections and specifications that apply</w:t>
      </w:r>
    </w:p>
    <w:p w:rsidR="00000000" w:rsidRPr="003B5BE9" w:rsidP="003B5BE9">
      <w:pPr>
        <w:pStyle w:val="ListBullet2"/>
      </w:pPr>
      <w:r w:rsidRPr="003B5BE9">
        <w:t>connecting conductors to equipment</w:t>
      </w:r>
    </w:p>
    <w:p w:rsidR="00000000" w:rsidRPr="003B5BE9" w:rsidP="003B5BE9">
      <w:pPr>
        <w:pStyle w:val="ListBullet2"/>
      </w:pPr>
      <w:r w:rsidRPr="003B5BE9">
        <w:t>fastening and seal</w:t>
      </w:r>
      <w:r w:rsidRPr="003B5BE9">
        <w:t>ing the cables, wires and conduits and tools, techniques and equipment to be used</w:t>
      </w:r>
    </w:p>
    <w:p w:rsidR="00000000" w:rsidRPr="003B5BE9" w:rsidP="003B5BE9">
      <w:pPr>
        <w:pStyle w:val="ListBullet2"/>
      </w:pPr>
      <w:r w:rsidRPr="003B5BE9">
        <w:t>checking and testing the compliance of the equipment with specifications and tools, techniques and equipment to be used</w:t>
      </w:r>
    </w:p>
    <w:p w:rsidR="00000000" w:rsidRPr="003B5BE9" w:rsidP="003B5BE9">
      <w:pPr>
        <w:pStyle w:val="ListBullet2"/>
      </w:pPr>
      <w:r w:rsidRPr="003B5BE9">
        <w:t>recording first aid</w:t>
      </w:r>
    </w:p>
    <w:p w:rsidR="00000000" w:rsidRPr="003B5BE9" w:rsidP="003B5BE9">
      <w:pPr>
        <w:pStyle w:val="ListBullet"/>
      </w:pPr>
      <w:r w:rsidRPr="003B5BE9">
        <w:t>tools, techniques and equipment r</w:t>
      </w:r>
      <w:r w:rsidRPr="003B5BE9">
        <w:t xml:space="preserve">equired to determine equipment characteristics, prove electrical isolation and disconnect/reconnect and terminate conductors </w:t>
      </w:r>
    </w:p>
    <w:p w:rsidR="00000000" w:rsidRPr="003B5BE9" w:rsidP="003B5BE9">
      <w:pPr>
        <w:pStyle w:val="ListBullet"/>
      </w:pPr>
      <w:r w:rsidRPr="003B5BE9">
        <w:t>point(s) of isolation for the fixed wired equipment and reasons for selecting the chosen isolation point(s)</w:t>
      </w:r>
    </w:p>
    <w:p w:rsidR="00000000" w:rsidRPr="003B5BE9" w:rsidP="003B5BE9">
      <w:pPr>
        <w:pStyle w:val="ListBullet"/>
      </w:pPr>
      <w:r w:rsidRPr="003B5BE9">
        <w:t>safe isolation and pro</w:t>
      </w:r>
      <w:r w:rsidRPr="003B5BE9">
        <w:t xml:space="preserve">ving dead </w:t>
      </w:r>
    </w:p>
    <w:p w:rsidR="00000000" w:rsidRPr="003B5BE9" w:rsidP="003B5BE9">
      <w:pPr>
        <w:pStyle w:val="ListBullet"/>
      </w:pPr>
      <w:r w:rsidRPr="003B5BE9">
        <w:t xml:space="preserve">range of isolation procedures for the fixed wired equipment </w:t>
      </w:r>
    </w:p>
    <w:p w:rsidR="00000000" w:rsidRPr="003B5BE9" w:rsidP="003B5BE9">
      <w:pPr>
        <w:pStyle w:val="ListBullet"/>
      </w:pPr>
      <w:r w:rsidRPr="003B5BE9">
        <w:t>lock-off equipment and signs to be used and reasons for using and procedures for lock-off equipment and signage</w:t>
      </w:r>
    </w:p>
    <w:p w:rsidR="00000000" w:rsidRPr="003B5BE9" w:rsidP="003B5BE9">
      <w:pPr>
        <w:pStyle w:val="ListBullet"/>
      </w:pPr>
      <w:r w:rsidRPr="003B5BE9">
        <w:t xml:space="preserve">characteristics of the circuit and the equipment </w:t>
      </w:r>
    </w:p>
    <w:p w:rsidR="00000000" w:rsidRPr="003B5BE9" w:rsidP="003B5BE9">
      <w:pPr>
        <w:pStyle w:val="ListBullet"/>
      </w:pPr>
      <w:r w:rsidRPr="003B5BE9">
        <w:t>operational specificat</w:t>
      </w:r>
      <w:r w:rsidRPr="003B5BE9">
        <w:t xml:space="preserve">ions of the fixed wired equipment </w:t>
      </w:r>
    </w:p>
    <w:p w:rsidR="00000000" w:rsidRPr="003B5BE9" w:rsidP="003B5BE9">
      <w:pPr>
        <w:pStyle w:val="ListBullet"/>
      </w:pPr>
      <w:r w:rsidRPr="003B5BE9">
        <w:t>points of danger to the injured person or potential rescuer</w:t>
      </w:r>
    </w:p>
    <w:p w:rsidR="00000000" w:rsidRPr="003B5BE9" w:rsidP="003B5BE9">
      <w:pPr>
        <w:pStyle w:val="ListBullet"/>
      </w:pPr>
      <w:r w:rsidRPr="003B5BE9">
        <w:t xml:space="preserve">recognised procedures for the movement and treatment of the injured person, including safe rescue of victim from a live situation, clearing of airways, care of spinal injuries, treatment of cuts/lesions, burns/scalds and treatment of shock </w:t>
      </w:r>
    </w:p>
    <w:p w:rsidR="00000000" w:rsidRPr="003B5BE9" w:rsidP="003B5BE9">
      <w:pPr>
        <w:pStyle w:val="ListBullet"/>
      </w:pPr>
      <w:r w:rsidRPr="003B5BE9">
        <w:t>appropriate loc</w:t>
      </w:r>
      <w:r w:rsidRPr="003B5BE9">
        <w:t>al medical and rescue services.</w:t>
      </w:r>
    </w:p>
    <w:p w:rsidR="00000000" w:rsidRPr="003B5BE9" w:rsidP="003B5BE9">
      <w:pPr>
        <w:pStyle w:val="AllowPageBreak"/>
      </w:pPr>
    </w:p>
    <w:p w:rsidR="00000000" w:rsidRPr="003B5BE9" w:rsidP="003B5BE9">
      <w:pPr>
        <w:pStyle w:val="Heading1"/>
      </w:pPr>
      <w:bookmarkStart w:id="4" w:name="O_941234"/>
      <w:bookmarkEnd w:id="4"/>
      <w:r w:rsidRPr="003B5BE9">
        <w:t>Assessment Conditions</w:t>
      </w:r>
    </w:p>
    <w:p w:rsidR="00000000" w:rsidRPr="003B5BE9" w:rsidP="003B5BE9">
      <w:pPr>
        <w:pStyle w:val="ListBullet"/>
      </w:pPr>
      <w:r w:rsidRPr="003B5BE9">
        <w:t>Assessors must:</w:t>
      </w:r>
    </w:p>
    <w:p w:rsidR="00000000" w:rsidRPr="003B5BE9" w:rsidP="003B5BE9">
      <w:pPr>
        <w:pStyle w:val="ListBullet2"/>
      </w:pPr>
      <w:r w:rsidRPr="003B5BE9">
        <w:t>have vocational competency in disconnecting/reconnecting fixed wired equipment up to 1000 volts a.c./1500 volts d.c. at least to the level being assessed with relevant</w:t>
      </w:r>
      <w:r w:rsidRPr="003B5BE9">
        <w:t xml:space="preserve"> industry knowledge and experience</w:t>
      </w:r>
    </w:p>
    <w:p w:rsidR="00000000" w:rsidRPr="003B5BE9" w:rsidP="003B5BE9">
      <w:pPr>
        <w:pStyle w:val="ListBullet2"/>
      </w:pPr>
      <w:r w:rsidRPr="003B5BE9">
        <w:t xml:space="preserve">satisfy the assessor requirements in the </w:t>
      </w:r>
      <w:r w:rsidRPr="003B5BE9">
        <w:rPr>
          <w:rStyle w:val="Emphasis"/>
        </w:rPr>
        <w:t xml:space="preserve">Standards for Registered Training Organisations 2015 </w:t>
      </w:r>
      <w:r w:rsidRPr="003B5BE9">
        <w:t>or its replacement</w:t>
      </w:r>
      <w:r w:rsidRPr="003B5BE9">
        <w:rPr>
          <w:rStyle w:val="Emphasis"/>
        </w:rPr>
        <w:t xml:space="preserve"> </w:t>
      </w:r>
      <w:r w:rsidRPr="003B5BE9">
        <w:t xml:space="preserve">and comply with the </w:t>
      </w:r>
      <w:r w:rsidRPr="003B5BE9">
        <w:rPr>
          <w:rStyle w:val="Emphasis"/>
        </w:rPr>
        <w:t xml:space="preserve">National Vocational Education and Training Regulator Act 2011, </w:t>
      </w:r>
      <w:r w:rsidRPr="003B5BE9">
        <w:t>its replacement</w:t>
      </w:r>
      <w:r w:rsidRPr="003B5BE9">
        <w:rPr>
          <w:rStyle w:val="Emphasis"/>
        </w:rPr>
        <w:t xml:space="preserve"> </w:t>
      </w:r>
      <w:r w:rsidRPr="003B5BE9">
        <w:t>or equiva</w:t>
      </w:r>
      <w:r w:rsidRPr="003B5BE9">
        <w:t>lent legislation covering VET regulation in a non-referring state/territory as the case requires</w:t>
      </w:r>
    </w:p>
    <w:p w:rsidR="00000000" w:rsidRPr="003B5BE9" w:rsidP="003B5BE9">
      <w:pPr>
        <w:pStyle w:val="ListBullet"/>
      </w:pPr>
      <w:r w:rsidRPr="003B5BE9">
        <w:t>Where possible assessment must occur in operational workplace situations. Where this is not possible or where personal safety or environmental damage are limi</w:t>
      </w:r>
      <w:r w:rsidRPr="003B5BE9">
        <w:t>ting factors, assessment must occur in a sufficiently rigorous simulated environment that reflects realistic operational workplace conditions. This must cover all aspects of workplace performance, including environment, task skills, task management skills,</w:t>
      </w:r>
      <w:r w:rsidRPr="003B5BE9">
        <w:t xml:space="preserve"> contingency management skills and job role environment skills</w:t>
      </w:r>
    </w:p>
    <w:p w:rsidR="00000000" w:rsidRPr="003B5BE9" w:rsidP="003B5BE9">
      <w:pPr>
        <w:pStyle w:val="ListBullet"/>
      </w:pPr>
      <w:r w:rsidRPr="003B5BE9">
        <w:t>Conditions for assessment must include access to all tools, equipment, materials and documentation required, including relevant workplace procedures, product and manufacturing specifications</w:t>
      </w:r>
    </w:p>
    <w:p w:rsidR="00000000" w:rsidRPr="003B5BE9" w:rsidP="003B5BE9">
      <w:pPr>
        <w:pStyle w:val="ListBullet"/>
      </w:pPr>
      <w:r w:rsidRPr="003B5BE9">
        <w:t>As</w:t>
      </w:r>
      <w:r w:rsidRPr="003B5BE9">
        <w:t>sessment processes and techniques must be appropriate to the language, literacy and numeracy requirements of the work being performed and the needs of the candidate.</w:t>
      </w:r>
    </w:p>
    <w:p w:rsidR="00000000" w:rsidRPr="003B5BE9" w:rsidP="003B5BE9">
      <w:pPr>
        <w:pStyle w:val="AllowPageBreak"/>
      </w:pPr>
    </w:p>
    <w:p w:rsidR="00000000" w:rsidRPr="003B5BE9" w:rsidP="003B5BE9">
      <w:pPr>
        <w:pStyle w:val="Heading1"/>
      </w:pPr>
      <w:bookmarkStart w:id="5" w:name="O_941232"/>
      <w:bookmarkEnd w:id="5"/>
      <w:r w:rsidRPr="003B5BE9">
        <w:t>Links</w:t>
      </w:r>
    </w:p>
    <w:p w:rsidR="00000000" w:rsidRPr="003B5BE9" w:rsidP="009F6473">
      <w:pPr>
        <w:pStyle w:val="BodyText"/>
      </w:pPr>
      <w:r w:rsidRPr="003B5B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90E7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B5BE9" w:rsidP="003B5BE9"/>
    <w:sectPr w:rsidSect="003B5B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B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BE9" w:rsidRPr="009F6473" w:rsidP="009F64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B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473" w:rsidP="003B5B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6473" w:rsidP="003B5B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F6473" w:rsidP="003B5B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B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4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5BE9" w:rsidRPr="009F6473" w:rsidP="009F64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B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473" w:rsidRPr="002D2AF8" w:rsidP="003B5B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MEM18049 Disconnect/reconnect fixed wired equipment up to 1000 volts a.c./1500 volts d.c.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F6473" w:rsidP="003B5B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E063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D6A0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E0F0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B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5B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5B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5B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5B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5B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5B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5B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5B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5B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5B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5BE9"/>
  </w:style>
  <w:style w:type="character" w:customStyle="1" w:styleId="Heading1Char">
    <w:name w:val="Heading 1 Char"/>
    <w:basedOn w:val="DefaultParagraphFont"/>
    <w:link w:val="Heading1"/>
    <w:rsid w:val="003B5B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5B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5B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5BE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5BE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B5BE9"/>
    <w:rPr>
      <w:i/>
    </w:rPr>
  </w:style>
  <w:style w:type="paragraph" w:customStyle="1" w:styleId="SuperHeading">
    <w:name w:val="SuperHeading"/>
    <w:basedOn w:val="Normal"/>
    <w:rsid w:val="003B5B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5B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5B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5B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5B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5B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5B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5B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5B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5B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5B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5B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5B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5B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5B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5B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5B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5B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5B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5B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5B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5B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5BE9"/>
    <w:rPr>
      <w:b/>
      <w:spacing w:val="0"/>
    </w:rPr>
  </w:style>
  <w:style w:type="paragraph" w:customStyle="1" w:styleId="SuperTitle">
    <w:name w:val="SuperTitle"/>
    <w:basedOn w:val="Title"/>
    <w:rsid w:val="003B5B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5B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5B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5B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5B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5B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5B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5B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5B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5B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5B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5B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5B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5B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5B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5BE9"/>
  </w:style>
  <w:style w:type="paragraph" w:styleId="TableofFigures">
    <w:name w:val="table of figures"/>
    <w:basedOn w:val="Normal"/>
    <w:next w:val="Normal"/>
    <w:semiHidden/>
    <w:rsid w:val="003B5B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5B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5BE9"/>
    <w:rPr>
      <w:rFonts w:ascii="Wingdings" w:hAnsi="Wingdings"/>
    </w:rPr>
  </w:style>
  <w:style w:type="paragraph" w:customStyle="1" w:styleId="TableHeading">
    <w:name w:val="Table Heading"/>
    <w:basedOn w:val="HeadingBase"/>
    <w:rsid w:val="003B5B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5BE9"/>
    <w:rPr>
      <w:color w:val="0033CC"/>
      <w:u w:val="none"/>
    </w:rPr>
  </w:style>
  <w:style w:type="paragraph" w:customStyle="1" w:styleId="BodyTextRight">
    <w:name w:val="Body Text Right"/>
    <w:basedOn w:val="BodyText"/>
    <w:rsid w:val="003B5B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5B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5B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5B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5B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5B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5BE9"/>
    <w:rPr>
      <w:sz w:val="32"/>
    </w:rPr>
  </w:style>
  <w:style w:type="paragraph" w:customStyle="1" w:styleId="HeadingProcedure">
    <w:name w:val="Heading Procedure"/>
    <w:basedOn w:val="HeadingBase"/>
    <w:next w:val="Normal"/>
    <w:rsid w:val="003B5B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5BE9"/>
    <w:pPr>
      <w:spacing w:before="60" w:after="60"/>
    </w:pPr>
  </w:style>
  <w:style w:type="paragraph" w:styleId="ListContinue">
    <w:name w:val="List Continue"/>
    <w:basedOn w:val="List"/>
    <w:rsid w:val="003B5BE9"/>
    <w:pPr>
      <w:ind w:firstLine="0"/>
    </w:pPr>
  </w:style>
  <w:style w:type="paragraph" w:customStyle="1" w:styleId="ListNote">
    <w:name w:val="List Note"/>
    <w:basedOn w:val="List"/>
    <w:rsid w:val="003B5B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5B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5B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5BE9"/>
    <w:rPr>
      <w:rFonts w:ascii="Courier New" w:hAnsi="Courier New"/>
    </w:rPr>
  </w:style>
  <w:style w:type="paragraph" w:customStyle="1" w:styleId="NoteBullet">
    <w:name w:val="Note Bullet"/>
    <w:basedOn w:val="Note"/>
    <w:rsid w:val="003B5B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5B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5B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5B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5B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5B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5B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5BE9"/>
    <w:rPr>
      <w:b/>
      <w:smallCaps/>
    </w:rPr>
  </w:style>
  <w:style w:type="paragraph" w:customStyle="1" w:styleId="TableListNumber">
    <w:name w:val="Table List Number"/>
    <w:basedOn w:val="ListNumber"/>
    <w:rsid w:val="003B5B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5B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5BE9"/>
    <w:pPr>
      <w:numPr>
        <w:numId w:val="9"/>
      </w:numPr>
    </w:pPr>
  </w:style>
  <w:style w:type="paragraph" w:customStyle="1" w:styleId="ListAlpha2">
    <w:name w:val="List Alpha 2"/>
    <w:basedOn w:val="List2"/>
    <w:rsid w:val="003B5BE9"/>
    <w:pPr>
      <w:numPr>
        <w:numId w:val="8"/>
      </w:numPr>
    </w:pPr>
  </w:style>
  <w:style w:type="paragraph" w:styleId="List2">
    <w:name w:val="List 2"/>
    <w:basedOn w:val="BodyText"/>
    <w:rsid w:val="003B5B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5B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5B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5B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5B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5B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5BE9"/>
    <w:pPr>
      <w:numPr>
        <w:numId w:val="4"/>
      </w:numPr>
    </w:pPr>
  </w:style>
  <w:style w:type="paragraph" w:styleId="ListContinue2">
    <w:name w:val="List Continue 2"/>
    <w:basedOn w:val="List2"/>
    <w:rsid w:val="003B5BE9"/>
    <w:pPr>
      <w:ind w:firstLine="0"/>
    </w:pPr>
  </w:style>
  <w:style w:type="paragraph" w:styleId="ListContinue3">
    <w:name w:val="List Continue 3"/>
    <w:basedOn w:val="List3"/>
    <w:rsid w:val="003B5BE9"/>
    <w:pPr>
      <w:ind w:left="1021" w:firstLine="0"/>
    </w:pPr>
  </w:style>
  <w:style w:type="paragraph" w:styleId="ListContinue4">
    <w:name w:val="List Continue 4"/>
    <w:basedOn w:val="List4"/>
    <w:rsid w:val="003B5BE9"/>
    <w:pPr>
      <w:ind w:firstLine="0"/>
    </w:pPr>
  </w:style>
  <w:style w:type="paragraph" w:styleId="ListContinue5">
    <w:name w:val="List Continue 5"/>
    <w:basedOn w:val="List5"/>
    <w:rsid w:val="003B5BE9"/>
    <w:pPr>
      <w:ind w:firstLine="0"/>
    </w:pPr>
  </w:style>
  <w:style w:type="paragraph" w:styleId="ListNumber3">
    <w:name w:val="List Number 3"/>
    <w:basedOn w:val="List3"/>
    <w:rsid w:val="003B5BE9"/>
    <w:pPr>
      <w:numPr>
        <w:numId w:val="5"/>
      </w:numPr>
    </w:pPr>
  </w:style>
  <w:style w:type="paragraph" w:styleId="ListNumber4">
    <w:name w:val="List Number 4"/>
    <w:basedOn w:val="List4"/>
    <w:rsid w:val="003B5BE9"/>
    <w:pPr>
      <w:numPr>
        <w:numId w:val="6"/>
      </w:numPr>
    </w:pPr>
  </w:style>
  <w:style w:type="paragraph" w:styleId="ListNumber5">
    <w:name w:val="List Number 5"/>
    <w:basedOn w:val="List5"/>
    <w:rsid w:val="003B5BE9"/>
    <w:pPr>
      <w:numPr>
        <w:numId w:val="7"/>
      </w:numPr>
    </w:pPr>
  </w:style>
  <w:style w:type="paragraph" w:styleId="BlockText">
    <w:name w:val="Block Text"/>
    <w:basedOn w:val="Normal"/>
    <w:rsid w:val="003B5B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5B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5BE9"/>
    <w:rPr>
      <w:sz w:val="16"/>
      <w:vertAlign w:val="superscript"/>
    </w:rPr>
  </w:style>
  <w:style w:type="character" w:customStyle="1" w:styleId="Symbols">
    <w:name w:val="Symbols"/>
    <w:basedOn w:val="DefaultParagraphFont"/>
    <w:rsid w:val="003B5BE9"/>
    <w:rPr>
      <w:rFonts w:ascii="Symbol" w:hAnsi="Symbol"/>
    </w:rPr>
  </w:style>
  <w:style w:type="character" w:customStyle="1" w:styleId="MenuOptions">
    <w:name w:val="Menu Options"/>
    <w:basedOn w:val="DefaultParagraphFont"/>
    <w:rsid w:val="003B5B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5BE9"/>
    <w:rPr>
      <w:b/>
    </w:rPr>
  </w:style>
  <w:style w:type="character" w:customStyle="1" w:styleId="Underlined">
    <w:name w:val="Underlined"/>
    <w:basedOn w:val="DefaultParagraphFont"/>
    <w:rsid w:val="003B5BE9"/>
    <w:rPr>
      <w:u w:val="single"/>
    </w:rPr>
  </w:style>
  <w:style w:type="paragraph" w:customStyle="1" w:styleId="TableBodyTextRight">
    <w:name w:val="Table Body Text Right"/>
    <w:basedOn w:val="TableBodyText"/>
    <w:rsid w:val="003B5B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5BE9"/>
    <w:rPr>
      <w:sz w:val="18"/>
    </w:rPr>
  </w:style>
  <w:style w:type="paragraph" w:customStyle="1" w:styleId="BodySmallRight">
    <w:name w:val="Body Small Right"/>
    <w:basedOn w:val="BodyTextRight"/>
    <w:rsid w:val="003B5BE9"/>
    <w:rPr>
      <w:sz w:val="18"/>
      <w:szCs w:val="18"/>
    </w:rPr>
  </w:style>
  <w:style w:type="paragraph" w:customStyle="1" w:styleId="MarginEdition">
    <w:name w:val="Margin Edition"/>
    <w:basedOn w:val="MarginNote"/>
    <w:rsid w:val="003B5B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5BE9"/>
    <w:rPr>
      <w:sz w:val="2"/>
      <w:szCs w:val="2"/>
    </w:rPr>
  </w:style>
  <w:style w:type="character" w:customStyle="1" w:styleId="Small">
    <w:name w:val="Small"/>
    <w:basedOn w:val="DefaultParagraphFont"/>
    <w:rsid w:val="003B5BE9"/>
    <w:rPr>
      <w:sz w:val="16"/>
    </w:rPr>
  </w:style>
  <w:style w:type="paragraph" w:customStyle="1" w:styleId="WideTable">
    <w:name w:val="Wide Table"/>
    <w:basedOn w:val="Normal"/>
    <w:rsid w:val="003B5B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5BE9"/>
  </w:style>
  <w:style w:type="paragraph" w:styleId="Quote">
    <w:name w:val="Quote"/>
    <w:basedOn w:val="Heading1"/>
    <w:link w:val="QuoteChar"/>
    <w:qFormat/>
    <w:rsid w:val="003B5B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5B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5BE9"/>
    <w:pPr>
      <w:pageBreakBefore/>
    </w:pPr>
  </w:style>
  <w:style w:type="paragraph" w:customStyle="1" w:styleId="Border">
    <w:name w:val="Border"/>
    <w:basedOn w:val="Normal"/>
    <w:qFormat/>
    <w:rsid w:val="003B5B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5B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5B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5B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5B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5B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5B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5B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5B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5BE9"/>
    <w:rPr>
      <w:u w:val="single"/>
    </w:rPr>
  </w:style>
  <w:style w:type="character" w:customStyle="1" w:styleId="BoldandItalics">
    <w:name w:val="Bold and Italics"/>
    <w:qFormat/>
    <w:rsid w:val="003B5BE9"/>
    <w:rPr>
      <w:b/>
      <w:i/>
      <w:u w:val="none"/>
    </w:rPr>
  </w:style>
  <w:style w:type="paragraph" w:styleId="BalloonText">
    <w:name w:val="Balloon Text"/>
    <w:basedOn w:val="Normal"/>
    <w:link w:val="BalloonTextChar"/>
    <w:rsid w:val="003B5B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5B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5B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5B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5B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5B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5BE9"/>
    <w:pPr>
      <w:spacing w:before="0" w:after="0"/>
    </w:pPr>
  </w:style>
  <w:style w:type="paragraph" w:customStyle="1" w:styleId="BodyTextBold">
    <w:name w:val="Body Text Bold"/>
    <w:basedOn w:val="BodyText"/>
    <w:qFormat/>
    <w:rsid w:val="003B5BE9"/>
    <w:rPr>
      <w:b/>
    </w:rPr>
  </w:style>
  <w:style w:type="character" w:styleId="Hyperlink">
    <w:name w:val="Hyperlink"/>
    <w:basedOn w:val="DefaultParagraphFont"/>
    <w:uiPriority w:val="99"/>
    <w:unhideWhenUsed/>
    <w:rsid w:val="009F64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798</Words>
  <Characters>5356</Characters>
  <Application>Microsoft Office Word</Application>
  <DocSecurity>0</DocSecurity>
  <Lines>109</Lines>
  <Paragraphs>63</Paragraphs>
  <ScaleCrop>false</ScaleCrop>
  <Company>Author-it Software Corporation Ltd.</Company>
  <LinksUpToDate>false</LinksUpToDate>
  <CharactersWithSpaces>6091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MEM18049 Disconnect/reconnect fixed wired equipment up to 1000 volts a.c./1500 volts d.c.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2023-02-03T06:48:00Z</dcterms:created>
  <dcterms:modified xsi:type="dcterms:W3CDTF">2023-02-03T06:48:00Z</dcterms:modified>
</cp:coreProperties>
</file>