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B42" w:rsidP="00854B42">
      <w:pPr>
        <w:pStyle w:val="Title"/>
      </w:pPr>
      <w:r>
        <w:fldChar w:fldCharType="begin"/>
      </w:r>
      <w:r>
        <w:instrText xml:space="preserve"> TITLE   \* MERGEFORMAT </w:instrText>
      </w:r>
      <w:r>
        <w:fldChar w:fldCharType="separate"/>
      </w:r>
      <w:r>
        <w:t>MEM18045 Fault find and repair electrical equipment/components up to 250 volts single phase supply</w:t>
      </w:r>
      <w:r>
        <w:fldChar w:fldCharType="end"/>
      </w:r>
    </w:p>
    <w:p w:rsidR="00854B42" w:rsidP="00854B42">
      <w:pPr>
        <w:pStyle w:val="Version"/>
        <w:sectPr w:rsidSect="00B211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1FC" w:rsidP="00B211FC">
      <w:pPr>
        <w:pStyle w:val="SuperHeading"/>
      </w:pPr>
      <w:r w:rsidRPr="00B211FC">
        <w:t>MEM18045 Fault find and repair electrical equipment/components up to 250 volts single phase supply</w:t>
      </w:r>
    </w:p>
    <w:p w:rsidR="00000000" w:rsidRPr="00B211FC" w:rsidP="00B211FC">
      <w:pPr>
        <w:pStyle w:val="Heading1"/>
      </w:pPr>
      <w:bookmarkStart w:id="1" w:name="O_941199"/>
      <w:bookmarkEnd w:id="1"/>
      <w:r w:rsidRPr="00B211FC">
        <w:t>Modification History</w:t>
      </w:r>
    </w:p>
    <w:p w:rsidR="00000000" w:rsidRPr="00B211FC" w:rsidP="00854B42">
      <w:pPr>
        <w:pStyle w:val="BodyText"/>
      </w:pPr>
      <w:r w:rsidRPr="00B211FC">
        <w:t xml:space="preserve">Release 1. Supersedes and is equivalent to MEM18045B Fault find/repair electrical equipment/components up to 250 volts single phase supply </w:t>
      </w:r>
    </w:p>
    <w:p w:rsidR="00000000" w:rsidRPr="00B211FC" w:rsidP="00B211FC">
      <w:pPr>
        <w:pStyle w:val="Heading1"/>
      </w:pPr>
      <w:bookmarkStart w:id="2" w:name="O_941207"/>
      <w:bookmarkEnd w:id="2"/>
      <w:r w:rsidRPr="00B211FC">
        <w:t>Application</w:t>
      </w:r>
    </w:p>
    <w:p w:rsidR="00000000" w:rsidRPr="00B211FC" w:rsidP="00854B42">
      <w:pPr>
        <w:pStyle w:val="BodyText"/>
      </w:pPr>
      <w:r w:rsidRPr="00B211FC">
        <w:t>This unit of competency defines the skills and knowledge required to locate and rectify</w:t>
      </w:r>
      <w:r w:rsidRPr="00B211FC">
        <w:t xml:space="preserve"> faults in equipment and components using up to 250 volts single phase power where they are disconnected from their electrical supply and this would also typically cover plug-in appliances.</w:t>
      </w:r>
    </w:p>
    <w:p w:rsidR="00000000" w:rsidRPr="00B211FC" w:rsidP="00854B42">
      <w:pPr>
        <w:pStyle w:val="BodyText"/>
      </w:pPr>
      <w:r w:rsidRPr="00B211FC">
        <w:t>It also covers basic mechanical disconnection, dismantling and re</w:t>
      </w:r>
      <w:r w:rsidRPr="00B211FC">
        <w:t xml:space="preserve">assembly of equipment components, enclosures and drives. </w:t>
      </w:r>
    </w:p>
    <w:p w:rsidR="00000000" w:rsidRPr="00B211FC" w:rsidP="00854B42">
      <w:pPr>
        <w:pStyle w:val="BodyText"/>
      </w:pPr>
      <w:r w:rsidRPr="00B211FC">
        <w:t xml:space="preserve">This unit should not be selected if unit MEM18046 Fault find and repair electrical equipment/components up to 1000 volts a.c./1500 volts d.c. has been selected. </w:t>
      </w:r>
    </w:p>
    <w:p w:rsidR="00000000" w:rsidRPr="00B211FC" w:rsidP="00854B42">
      <w:pPr>
        <w:pStyle w:val="BodyText"/>
      </w:pPr>
      <w:r w:rsidRPr="00B211FC">
        <w:t>Where disconnection and reconnecti</w:t>
      </w:r>
      <w:r w:rsidRPr="00B211FC">
        <w:t>on of fixed-wired equipment is required unit MEM18049 Disconnect/reconnect fixed wired equipment up to 1000 volts a.c./1500 volts d.c. should also be selected.</w:t>
      </w:r>
    </w:p>
    <w:p w:rsidR="00000000" w:rsidRPr="00B211FC" w:rsidP="00854B42">
      <w:pPr>
        <w:pStyle w:val="BodyText"/>
      </w:pPr>
      <w:r w:rsidRPr="00B211FC">
        <w:t>Some jurisdictions may require the holder of this unit to be licensed or certified and users sh</w:t>
      </w:r>
      <w:r w:rsidRPr="00B211FC">
        <w:t>ould check with the relevant authorities.</w:t>
      </w:r>
    </w:p>
    <w:p w:rsidR="00000000" w:rsidRPr="00B211FC" w:rsidP="00B211FC">
      <w:pPr>
        <w:pStyle w:val="BodyText"/>
      </w:pPr>
      <w:r w:rsidRPr="00B211FC">
        <w:rPr>
          <w:rStyle w:val="SpecialBold"/>
        </w:rPr>
        <w:t>Band</w:t>
      </w:r>
      <w:r w:rsidRPr="00B211FC">
        <w:t>:</w:t>
      </w:r>
      <w:r w:rsidRPr="00B211FC">
        <w:tab/>
      </w:r>
      <w:r w:rsidRPr="00B211FC">
        <w:rPr>
          <w:rStyle w:val="SpecialBold"/>
        </w:rPr>
        <w:t>A</w:t>
      </w:r>
    </w:p>
    <w:p w:rsidR="00000000" w:rsidRPr="00B211FC" w:rsidP="00B211FC">
      <w:pPr>
        <w:pStyle w:val="BodyText"/>
      </w:pPr>
      <w:r w:rsidRPr="00B211FC">
        <w:rPr>
          <w:rStyle w:val="SpecialBold"/>
        </w:rPr>
        <w:t>Unit Weight</w:t>
      </w:r>
      <w:r w:rsidRPr="00B211FC">
        <w:t>:</w:t>
      </w:r>
      <w:r w:rsidRPr="00B211FC">
        <w:tab/>
      </w:r>
      <w:r w:rsidRPr="00B211FC">
        <w:rPr>
          <w:rStyle w:val="SpecialBold"/>
        </w:rPr>
        <w:t>4</w:t>
      </w:r>
    </w:p>
    <w:p w:rsidR="00000000" w:rsidRPr="00B211FC" w:rsidP="00B211FC">
      <w:pPr>
        <w:pStyle w:val="AllowPageBreak"/>
      </w:pPr>
    </w:p>
    <w:p w:rsidR="00000000" w:rsidRPr="00B211FC" w:rsidP="00B211FC">
      <w:pPr>
        <w:pStyle w:val="Heading1"/>
      </w:pPr>
      <w:bookmarkStart w:id="3" w:name="O_941206"/>
      <w:bookmarkEnd w:id="3"/>
      <w:r w:rsidRPr="00B211FC">
        <w:t>Pre-requisite Unit</w:t>
      </w:r>
    </w:p>
    <w:tbl>
      <w:tblPr>
        <w:tblW w:w="0" w:type="auto"/>
        <w:tblLayout w:type="fixed"/>
        <w:tblCellMar>
          <w:left w:w="62" w:type="dxa"/>
          <w:right w:w="62" w:type="dxa"/>
        </w:tblCellMar>
        <w:tblLook w:val="0000"/>
      </w:tblPr>
      <w:tblGrid>
        <w:gridCol w:w="2204"/>
        <w:gridCol w:w="6360"/>
      </w:tblGrid>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MEM09002</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Interpret technical drawing</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MEM10002</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Terminate and connect electrical wiring</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MEM12002</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Perform electrical/electronic measurement</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MEM12023</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Perform engineering measurements</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MEM13015</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Work safely and effectively in manufacturing and engineering</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MEM16006</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Organise and communicate information</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MEM18001</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Use hand tools</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MEM18002</w:t>
            </w:r>
          </w:p>
        </w:tc>
        <w:tc>
          <w:tcPr>
            <w:tcW w:w="6360"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Use power tools/hand held operations</w:t>
            </w:r>
          </w:p>
        </w:tc>
      </w:tr>
      <w:tr w:rsidTr="00B211F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MEM18055</w:t>
            </w:r>
          </w:p>
        </w:tc>
        <w:tc>
          <w:tcPr>
            <w:tcW w:w="6360" w:type="dxa"/>
            <w:tcBorders>
              <w:top w:val="nil"/>
              <w:left w:val="nil"/>
              <w:bottom w:val="nil"/>
              <w:right w:val="nil"/>
            </w:tcBorders>
            <w:tcMar>
              <w:top w:w="0" w:type="dxa"/>
              <w:left w:w="62" w:type="dxa"/>
              <w:bottom w:w="0" w:type="dxa"/>
              <w:right w:w="62" w:type="dxa"/>
            </w:tcMar>
          </w:tcPr>
          <w:p w:rsidR="00000000" w:rsidRPr="00B211FC" w:rsidP="00B211FC">
            <w:pPr>
              <w:pStyle w:val="BodyText"/>
            </w:pPr>
            <w:r w:rsidRPr="00B211FC">
              <w:t xml:space="preserve">Dismantle, replace and </w:t>
            </w:r>
            <w:r w:rsidRPr="00B211FC">
              <w:t xml:space="preserve">assemble engineering components </w:t>
            </w:r>
          </w:p>
        </w:tc>
      </w:tr>
    </w:tbl>
    <w:p w:rsidR="00000000" w:rsidRPr="00B211FC" w:rsidP="00B211FC">
      <w:pPr>
        <w:pStyle w:val="BodyText"/>
      </w:pPr>
    </w:p>
    <w:p w:rsidR="00000000" w:rsidRPr="00B211FC" w:rsidP="00B211FC">
      <w:pPr>
        <w:pStyle w:val="AllowPageBreak"/>
      </w:pPr>
    </w:p>
    <w:p w:rsidR="00000000" w:rsidRPr="00B211FC" w:rsidP="00B211FC">
      <w:pPr>
        <w:pStyle w:val="Heading1"/>
      </w:pPr>
      <w:bookmarkStart w:id="4" w:name="O_941205"/>
      <w:bookmarkEnd w:id="4"/>
      <w:r w:rsidRPr="00B211FC">
        <w:t>Competency Field</w:t>
      </w:r>
    </w:p>
    <w:p w:rsidR="00000000" w:rsidRPr="00B211FC" w:rsidP="00854B42">
      <w:pPr>
        <w:pStyle w:val="BodyText"/>
      </w:pPr>
      <w:r w:rsidRPr="00B211FC">
        <w:t>Maintenance and diagnostics</w:t>
      </w:r>
    </w:p>
    <w:p w:rsidR="00000000" w:rsidRPr="00B211FC" w:rsidP="00B211FC">
      <w:pPr>
        <w:pStyle w:val="Heading1"/>
      </w:pPr>
      <w:bookmarkStart w:id="5" w:name="O_941203"/>
      <w:bookmarkEnd w:id="5"/>
      <w:r w:rsidRPr="00B211FC">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B211FC">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Performance criteria describe the performance needed to demonstrate achievement of the element.</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11FC" w:rsidP="00B211FC">
            <w:pPr>
              <w:pStyle w:val="BodyText"/>
            </w:pPr>
            <w:r w:rsidRPr="00B211FC">
              <w:t>1</w:t>
            </w:r>
          </w:p>
        </w:tc>
        <w:tc>
          <w:tcPr>
            <w:tcW w:w="1974" w:type="dxa"/>
            <w:vMerge w:val="restart"/>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1.1</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Follow standard operating procedures (SOPs)</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1.2</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Comply with work health and safety (WHS) requirements at all times</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1.3</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Use appropriate personal protective equipment (PPE) in accordance with SOPs</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1.4</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Identify job requirements from specifications, drawings, job sheets or work instructions</w:t>
            </w:r>
          </w:p>
        </w:tc>
      </w:tr>
      <w:tr w:rsidTr="00B211F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11FC">
            <w:pPr>
              <w:pStyle w:val="BodyText"/>
              <w:rPr>
                <w:lang w:val="en-NZ"/>
              </w:rPr>
            </w:pP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11FC" w:rsidP="00B211FC">
            <w:pPr>
              <w:pStyle w:val="BodyText"/>
            </w:pPr>
            <w:r w:rsidRPr="00B211FC">
              <w:t>2</w:t>
            </w:r>
          </w:p>
        </w:tc>
        <w:tc>
          <w:tcPr>
            <w:tcW w:w="1974" w:type="dxa"/>
            <w:vMerge w:val="restart"/>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rPr>
                <w:rStyle w:val="SpecialBold"/>
              </w:rPr>
              <w:t>Locate fault</w:t>
            </w: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2.1</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Determine equipment/component function by reference to circuit diagrams, schematics, manual and/or consultation with technical adviser</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2.2</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Examine and interpret built-in fault indicators and error codes and record results to procedures, where appropriate</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2.3</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Isolate equipment in accordance with procedures from power supply</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2.4</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 xml:space="preserve">Check and test equipment/component using appropriate tools, </w:t>
            </w:r>
            <w:r w:rsidRPr="00B211FC">
              <w:t>test equipment, procedures and techniques</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2.5</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 xml:space="preserve">Interpret and verify check and test results, where required </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2.6</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Identify, localise and record equipment/component fault in accordance with SOPs</w:t>
            </w:r>
          </w:p>
        </w:tc>
      </w:tr>
      <w:tr w:rsidTr="00B211F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11FC">
            <w:pPr>
              <w:pStyle w:val="BodyText"/>
              <w:rPr>
                <w:lang w:val="en-NZ"/>
              </w:rPr>
            </w:pP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11FC" w:rsidP="00B211FC">
            <w:pPr>
              <w:pStyle w:val="BodyText"/>
            </w:pPr>
            <w:r w:rsidRPr="00B211FC">
              <w:t>3</w:t>
            </w:r>
          </w:p>
        </w:tc>
        <w:tc>
          <w:tcPr>
            <w:tcW w:w="1974" w:type="dxa"/>
            <w:vMerge w:val="restart"/>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rPr>
                <w:rStyle w:val="SpecialBold"/>
              </w:rPr>
              <w:t>Rectify faults</w:t>
            </w: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3.1</w:t>
            </w:r>
          </w:p>
        </w:tc>
        <w:tc>
          <w:tcPr>
            <w:tcW w:w="5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Repair, replace or adjust equipment/component/s and check and test to specification or manufacturers</w:t>
            </w:r>
            <w:r>
              <w:t>’</w:t>
            </w:r>
            <w:r w:rsidRPr="00B211FC">
              <w:t xml:space="preserve"> requirements using appropriate tools, equipment and techniques</w:t>
            </w:r>
          </w:p>
        </w:tc>
      </w:tr>
      <w:tr w:rsidTr="00B211F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3.2</w:t>
            </w:r>
          </w:p>
        </w:tc>
        <w:tc>
          <w:tcPr>
            <w:tcW w:w="5641" w:type="dxa"/>
            <w:tcBorders>
              <w:top w:val="nil"/>
              <w:left w:val="nil"/>
              <w:bottom w:val="nil"/>
              <w:right w:val="nil"/>
            </w:tcBorders>
            <w:tcMar>
              <w:top w:w="0" w:type="dxa"/>
              <w:left w:w="62" w:type="dxa"/>
              <w:bottom w:w="0" w:type="dxa"/>
              <w:right w:w="62" w:type="dxa"/>
            </w:tcMar>
          </w:tcPr>
          <w:p w:rsidR="00000000" w:rsidRPr="00B211FC" w:rsidP="00B211FC">
            <w:pPr>
              <w:pStyle w:val="BodyText"/>
            </w:pPr>
            <w:r w:rsidRPr="00B211FC">
              <w:t>Record rectifications report in accordance with SOPs</w:t>
            </w:r>
          </w:p>
        </w:tc>
      </w:tr>
    </w:tbl>
    <w:p w:rsidR="00854B42" w:rsidP="00B211FC">
      <w:pPr>
        <w:pStyle w:val="BodyText"/>
      </w:pPr>
    </w:p>
    <w:p w:rsidR="00854B42" w:rsidP="00B211FC">
      <w:pPr>
        <w:pStyle w:val="BodyText"/>
      </w:pPr>
    </w:p>
    <w:p w:rsidR="00000000" w:rsidRPr="00B211FC" w:rsidP="00B211FC">
      <w:pPr>
        <w:pStyle w:val="Heading1"/>
      </w:pPr>
      <w:bookmarkStart w:id="6" w:name="O_941202"/>
      <w:bookmarkEnd w:id="6"/>
      <w:r w:rsidRPr="00B211FC">
        <w:t xml:space="preserve">Foundation </w:t>
      </w:r>
      <w:r w:rsidRPr="00B211FC">
        <w:t>Skills</w:t>
      </w:r>
    </w:p>
    <w:p w:rsidR="00000000" w:rsidRPr="00B211FC" w:rsidP="00854B42">
      <w:pPr>
        <w:pStyle w:val="BodyText"/>
      </w:pPr>
      <w:r w:rsidRPr="00B211FC">
        <w:t xml:space="preserve">This section describes those required skills (reading, writing, oral communication and numeracy) that are essential to workplace performance in this unit of competency.  </w:t>
      </w:r>
    </w:p>
    <w:p w:rsidR="00000000" w:rsidRPr="00B211FC" w:rsidP="00854B42">
      <w:pPr>
        <w:pStyle w:val="BodyText"/>
      </w:pPr>
      <w:r w:rsidRPr="00B211FC">
        <w:t>Foundation skills essential to performance are explicit in the performance criteria of this unit of competency.</w:t>
      </w:r>
    </w:p>
    <w:p w:rsidR="00000000" w:rsidRPr="00B211FC" w:rsidP="00B211FC">
      <w:pPr>
        <w:pStyle w:val="Heading1"/>
      </w:pPr>
      <w:bookmarkStart w:id="7" w:name="O_941201"/>
      <w:bookmarkEnd w:id="7"/>
      <w:r w:rsidRPr="00B211FC">
        <w:t>Range of Conditions</w:t>
      </w:r>
    </w:p>
    <w:tbl>
      <w:tblPr>
        <w:tblW w:w="0" w:type="auto"/>
        <w:tblLayout w:type="fixed"/>
        <w:tblCellMar>
          <w:left w:w="62" w:type="dxa"/>
          <w:right w:w="62" w:type="dxa"/>
        </w:tblCellMar>
        <w:tblLook w:val="0000"/>
      </w:tblPr>
      <w:tblGrid>
        <w:gridCol w:w="2641"/>
        <w:gridCol w:w="6501"/>
      </w:tblGrid>
      <w:tr w:rsidTr="00B211F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t>This field allows for different work environments and conditions that may affect performance. Essential ope</w:t>
            </w:r>
            <w:r w:rsidRPr="00B211FC">
              <w:t>rating conditions that may be present (depending on the work situation, needs of the candidate, accessibility of the item, and local industry and regional contexts) are included.</w:t>
            </w:r>
          </w:p>
        </w:tc>
      </w:tr>
      <w:tr w:rsidTr="00B211F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rPr>
                <w:rStyle w:val="SpecialBold"/>
              </w:rPr>
              <w:t>Components</w:t>
            </w:r>
            <w:r w:rsidRPr="00B211FC">
              <w:t xml:space="preserve"> </w:t>
            </w:r>
            <w:r w:rsidRPr="00B211FC">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11FC" w:rsidP="00B211FC">
            <w:pPr>
              <w:pStyle w:val="ListBullet"/>
            </w:pPr>
            <w:r w:rsidRPr="00B211FC">
              <w:t>brushes</w:t>
            </w:r>
          </w:p>
          <w:p w:rsidR="00000000" w:rsidRPr="00B211FC" w:rsidP="00B211FC">
            <w:pPr>
              <w:pStyle w:val="ListBullet"/>
            </w:pPr>
            <w:r w:rsidRPr="00B211FC">
              <w:t>armatures</w:t>
            </w:r>
          </w:p>
          <w:p w:rsidR="00000000" w:rsidRPr="00B211FC" w:rsidP="00B211FC">
            <w:pPr>
              <w:pStyle w:val="ListBullet"/>
            </w:pPr>
            <w:r w:rsidRPr="00B211FC">
              <w:t>win</w:t>
            </w:r>
            <w:r w:rsidRPr="00B211FC">
              <w:t>dings</w:t>
            </w:r>
          </w:p>
          <w:p w:rsidR="00000000" w:rsidRPr="00B211FC" w:rsidP="00B211FC">
            <w:pPr>
              <w:pStyle w:val="ListBullet"/>
            </w:pPr>
            <w:r w:rsidRPr="00B211FC">
              <w:t>relays</w:t>
            </w:r>
          </w:p>
          <w:p w:rsidR="00000000" w:rsidRPr="00B211FC" w:rsidP="00B211FC">
            <w:pPr>
              <w:pStyle w:val="ListBullet"/>
            </w:pPr>
            <w:r w:rsidRPr="00B211FC">
              <w:t xml:space="preserve">programmable controllers </w:t>
            </w:r>
          </w:p>
          <w:p w:rsidR="00000000" w:rsidRPr="00B211FC" w:rsidP="00B211FC">
            <w:pPr>
              <w:pStyle w:val="ListBullet"/>
            </w:pPr>
            <w:r w:rsidRPr="00B211FC">
              <w:t>other electronic switching devices</w:t>
            </w:r>
          </w:p>
          <w:p w:rsidR="00000000" w:rsidP="00B211FC">
            <w:pPr>
              <w:pStyle w:val="BodyText"/>
              <w:rPr>
                <w:lang w:val="en-NZ"/>
              </w:rPr>
            </w:pPr>
          </w:p>
        </w:tc>
      </w:tr>
      <w:tr w:rsidTr="00B211F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rPr>
                <w:rStyle w:val="SpecialBold"/>
              </w:rPr>
              <w:t>Appropriate fault-finding techniques</w:t>
            </w:r>
            <w:r w:rsidRPr="00B211FC">
              <w:t xml:space="preserve"> </w:t>
            </w:r>
            <w:r w:rsidRPr="00B211FC">
              <w:rPr>
                <w:rStyle w:val="SpecialBold"/>
              </w:rPr>
              <w:t>include:</w:t>
            </w:r>
          </w:p>
        </w:tc>
        <w:tc>
          <w:tcPr>
            <w:tcW w:w="6501" w:type="dxa"/>
            <w:tcBorders>
              <w:top w:val="nil"/>
              <w:left w:val="nil"/>
              <w:bottom w:val="nil"/>
              <w:right w:val="nil"/>
            </w:tcBorders>
            <w:tcMar>
              <w:top w:w="0" w:type="dxa"/>
              <w:left w:w="62" w:type="dxa"/>
              <w:bottom w:w="0" w:type="dxa"/>
              <w:right w:w="62" w:type="dxa"/>
            </w:tcMar>
          </w:tcPr>
          <w:p w:rsidR="00000000" w:rsidRPr="00B211FC" w:rsidP="00B211FC">
            <w:pPr>
              <w:pStyle w:val="ListBullet"/>
            </w:pPr>
            <w:r w:rsidRPr="00B211FC">
              <w:t xml:space="preserve">testing for voltage, current, frequency, polarity, phase, circuit continuity, insulation resistance and earth continuity </w:t>
            </w:r>
          </w:p>
          <w:p w:rsidR="00000000" w:rsidP="00B211FC">
            <w:pPr>
              <w:pStyle w:val="BodyText"/>
              <w:rPr>
                <w:lang w:val="en-NZ"/>
              </w:rPr>
            </w:pPr>
          </w:p>
        </w:tc>
      </w:tr>
      <w:tr w:rsidTr="00B211F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211FC">
            <w:pPr>
              <w:pStyle w:val="BodyText"/>
              <w:rPr>
                <w:lang w:val="en-NZ"/>
              </w:rPr>
            </w:pPr>
            <w:r w:rsidRPr="00B211FC">
              <w:rPr>
                <w:rStyle w:val="SpecialBold"/>
              </w:rPr>
              <w:t>Test equipment</w:t>
            </w:r>
            <w:r w:rsidRPr="00B211FC">
              <w:t xml:space="preserve"> </w:t>
            </w:r>
            <w:r w:rsidRPr="00B211FC">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11FC" w:rsidP="00B211FC">
            <w:pPr>
              <w:pStyle w:val="ListBullet"/>
            </w:pPr>
            <w:r w:rsidRPr="00B211FC">
              <w:t>continuity testers</w:t>
            </w:r>
          </w:p>
          <w:p w:rsidR="00000000" w:rsidRPr="00B211FC" w:rsidP="00B211FC">
            <w:pPr>
              <w:pStyle w:val="ListBullet"/>
            </w:pPr>
            <w:r w:rsidRPr="00B211FC">
              <w:t>ammeters</w:t>
            </w:r>
          </w:p>
          <w:p w:rsidR="00000000" w:rsidRPr="00B211FC" w:rsidP="00B211FC">
            <w:pPr>
              <w:pStyle w:val="ListBullet"/>
            </w:pPr>
            <w:r w:rsidRPr="00B211FC">
              <w:t>voltmeters</w:t>
            </w:r>
          </w:p>
          <w:p w:rsidR="00000000" w:rsidRPr="00B211FC" w:rsidP="00B211FC">
            <w:pPr>
              <w:pStyle w:val="ListBullet"/>
            </w:pPr>
            <w:r w:rsidRPr="00B211FC">
              <w:t>multimeters</w:t>
            </w:r>
          </w:p>
          <w:p w:rsidR="00000000" w:rsidRPr="00B211FC" w:rsidP="00B211FC">
            <w:pPr>
              <w:pStyle w:val="ListBullet"/>
            </w:pPr>
            <w:r w:rsidRPr="00B211FC">
              <w:t>tong testers</w:t>
            </w:r>
          </w:p>
          <w:p w:rsidR="00000000" w:rsidRPr="00B211FC" w:rsidP="00B211FC">
            <w:pPr>
              <w:pStyle w:val="ListBullet"/>
            </w:pPr>
            <w:r w:rsidRPr="00B211FC">
              <w:t xml:space="preserve">wattmeters </w:t>
            </w:r>
          </w:p>
          <w:p w:rsidR="00000000" w:rsidRPr="00B211FC" w:rsidP="00B211FC">
            <w:pPr>
              <w:pStyle w:val="BodyText"/>
            </w:pPr>
          </w:p>
        </w:tc>
      </w:tr>
    </w:tbl>
    <w:p w:rsidR="00000000" w:rsidRPr="00B211FC" w:rsidP="00B211FC">
      <w:pPr>
        <w:pStyle w:val="BodyText"/>
      </w:pPr>
    </w:p>
    <w:p w:rsidR="00000000" w:rsidRPr="00B211FC" w:rsidP="00B211FC">
      <w:pPr>
        <w:pStyle w:val="AllowPageBreak"/>
      </w:pPr>
    </w:p>
    <w:p w:rsidR="00000000" w:rsidRPr="00B211FC" w:rsidP="00B211FC">
      <w:pPr>
        <w:pStyle w:val="Heading1"/>
      </w:pPr>
      <w:bookmarkStart w:id="8" w:name="O_941200"/>
      <w:bookmarkEnd w:id="8"/>
      <w:r w:rsidRPr="00B211FC">
        <w:t>Unit Mapping Information</w:t>
      </w:r>
    </w:p>
    <w:p w:rsidR="00000000" w:rsidRPr="00B211FC" w:rsidP="00854B42">
      <w:pPr>
        <w:pStyle w:val="BodyText"/>
      </w:pPr>
      <w:r w:rsidRPr="00B211FC">
        <w:t xml:space="preserve">Release 1. Supersedes and is equivalent to MEM18045B Fault find/repair electrical equipment/components up to 250 volts single phase supply </w:t>
      </w:r>
    </w:p>
    <w:p w:rsidR="00000000" w:rsidRPr="00B211FC" w:rsidP="00B211FC">
      <w:pPr>
        <w:pStyle w:val="Heading1"/>
      </w:pPr>
      <w:bookmarkStart w:id="9" w:name="O_941193"/>
      <w:bookmarkEnd w:id="9"/>
      <w:r w:rsidRPr="00B211FC">
        <w:t>Links</w:t>
      </w:r>
    </w:p>
    <w:p w:rsidR="00000000" w:rsidRPr="00B211FC" w:rsidP="00854B42">
      <w:pPr>
        <w:pStyle w:val="BodyText"/>
      </w:pPr>
      <w:r w:rsidRPr="00B211F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D05EC">
        <w:rPr>
          <w:rStyle w:val="Hyperlink"/>
        </w:rPr>
        <w:t>https://vetnet.gov.au/Pages/TrainingDocs.aspx?q=b7050d37-5fd0-4740-8f7d-3b7a49c10bb2</w:t>
      </w:r>
      <w:r>
        <w:fldChar w:fldCharType="end"/>
      </w:r>
    </w:p>
    <w:p w:rsidR="00000000" w:rsidRPr="00B211FC" w:rsidP="00854B42">
      <w:pPr>
        <w:pStyle w:val="BodyText"/>
        <w:sectPr w:rsidSect="00B211FC">
          <w:headerReference w:type="default" r:id="rId10"/>
          <w:footerReference w:type="default" r:id="rId11"/>
          <w:pgSz w:w="11908" w:h="16833"/>
          <w:pgMar w:top="1702" w:right="1418" w:bottom="1702" w:left="1418" w:header="992" w:footer="992" w:gutter="0"/>
          <w:cols w:space="720"/>
          <w:noEndnote/>
          <w:docGrid w:linePitch="299"/>
        </w:sectPr>
      </w:pPr>
    </w:p>
    <w:p w:rsidR="00000000" w:rsidRPr="00B211FC" w:rsidP="00B211FC">
      <w:pPr>
        <w:pStyle w:val="SuperHeading"/>
      </w:pPr>
      <w:r w:rsidRPr="00B211FC">
        <w:t>Assessment Requirements for MEM18045 Fault find and repair electrical equipment/components up to 250 volts single phase supply</w:t>
      </w:r>
    </w:p>
    <w:p w:rsidR="00000000" w:rsidRPr="00B211FC" w:rsidP="00B211FC">
      <w:pPr>
        <w:pStyle w:val="Heading1"/>
      </w:pPr>
      <w:bookmarkStart w:id="10" w:name="O_941195"/>
      <w:bookmarkEnd w:id="10"/>
      <w:r w:rsidRPr="00B211FC">
        <w:t>Modification History</w:t>
      </w:r>
    </w:p>
    <w:p w:rsidR="00000000" w:rsidRPr="00B211FC" w:rsidP="00854B42">
      <w:pPr>
        <w:pStyle w:val="BodyText"/>
      </w:pPr>
      <w:r w:rsidRPr="00B211FC">
        <w:t xml:space="preserve">Release 1. Supersedes and is equivalent to MEM18045B Fault find/repair electrical equipment/components up to 250 volts single phase supply </w:t>
      </w:r>
    </w:p>
    <w:p w:rsidR="00000000" w:rsidRPr="00B211FC" w:rsidP="00B211FC">
      <w:pPr>
        <w:pStyle w:val="Heading1"/>
      </w:pPr>
      <w:bookmarkStart w:id="11" w:name="O_941198"/>
      <w:bookmarkEnd w:id="11"/>
      <w:r w:rsidRPr="00B211FC">
        <w:t>Performance Evidence</w:t>
      </w:r>
    </w:p>
    <w:p w:rsidR="00000000" w:rsidRPr="00B211FC" w:rsidP="00854B42">
      <w:pPr>
        <w:pStyle w:val="BodyText"/>
      </w:pPr>
      <w:r w:rsidRPr="00B211FC">
        <w:t xml:space="preserve">Evidence required to demonstrate competence in this unit </w:t>
      </w:r>
      <w:r w:rsidRPr="00B211FC">
        <w:t>must be relevant to and satisfy the requirements of the elements and performance criteria on at least two (2) occasions and include:</w:t>
      </w:r>
    </w:p>
    <w:p w:rsidR="00000000" w:rsidRPr="00B211FC" w:rsidP="00B211FC">
      <w:pPr>
        <w:pStyle w:val="ListBullet"/>
      </w:pPr>
      <w:r w:rsidRPr="00B211FC">
        <w:t xml:space="preserve">following work instructions, standard operating procedures (SOPs) and safe work practices </w:t>
      </w:r>
    </w:p>
    <w:p w:rsidR="00000000" w:rsidRPr="00B211FC" w:rsidP="00B211FC">
      <w:pPr>
        <w:pStyle w:val="ListBullet"/>
      </w:pPr>
      <w:r w:rsidRPr="00B211FC">
        <w:t>identifying and interpreting sp</w:t>
      </w:r>
      <w:r w:rsidRPr="00B211FC">
        <w:t>ecifications, charts, lists, circuit drawings, schematics, regulatory and legislative requirements to fault find and repair electrical equipment/components up to 250 volts single phase supply</w:t>
      </w:r>
    </w:p>
    <w:p w:rsidR="00000000" w:rsidRPr="00B211FC" w:rsidP="00B211FC">
      <w:pPr>
        <w:pStyle w:val="ListBullet"/>
      </w:pPr>
      <w:r w:rsidRPr="00B211FC">
        <w:t>checking that the electrical equipment/components are isolated a</w:t>
      </w:r>
      <w:r w:rsidRPr="00B211FC">
        <w:t xml:space="preserve">nd tagged where necessary in strict accordance with work health and safety (WHS) requirements and procedures </w:t>
      </w:r>
    </w:p>
    <w:p w:rsidR="00000000" w:rsidRPr="00B211FC" w:rsidP="00B211FC">
      <w:pPr>
        <w:pStyle w:val="ListBullet"/>
      </w:pPr>
      <w:r w:rsidRPr="00B211FC">
        <w:t xml:space="preserve">locating and reading/recording built-in indicators and error codes </w:t>
      </w:r>
    </w:p>
    <w:p w:rsidR="00000000" w:rsidRPr="00B211FC" w:rsidP="00B211FC">
      <w:pPr>
        <w:pStyle w:val="ListBullet"/>
      </w:pPr>
      <w:r w:rsidRPr="00B211FC">
        <w:t>checking and testing electrical components for correct operation and/or compli</w:t>
      </w:r>
      <w:r w:rsidRPr="00B211FC">
        <w:t xml:space="preserve">ance with specifications </w:t>
      </w:r>
    </w:p>
    <w:p w:rsidR="00000000" w:rsidRPr="00B211FC" w:rsidP="00B211FC">
      <w:pPr>
        <w:pStyle w:val="ListBullet"/>
      </w:pPr>
      <w:r w:rsidRPr="00B211FC">
        <w:t>identifying and localising faults in electrical equipment/components using appropriate fault-finding techniques and test equipment and recording/reporting faults in accordance with SOPs</w:t>
      </w:r>
    </w:p>
    <w:p w:rsidR="00000000" w:rsidRPr="00B211FC" w:rsidP="00B211FC">
      <w:pPr>
        <w:pStyle w:val="ListBullet"/>
      </w:pPr>
      <w:r w:rsidRPr="00B211FC">
        <w:t xml:space="preserve">repairing/replacing or adjusting electrical </w:t>
      </w:r>
      <w:r w:rsidRPr="00B211FC">
        <w:t>equipment/components to specifications and selecting replacement parts using manufacturers’ catalogues and data</w:t>
      </w:r>
    </w:p>
    <w:p w:rsidR="00000000" w:rsidRPr="00B211FC" w:rsidP="00B211FC">
      <w:pPr>
        <w:pStyle w:val="ListBullet"/>
      </w:pPr>
      <w:r w:rsidRPr="00B211FC">
        <w:t>verifying that the electrical equipment/components are operating to specifications</w:t>
      </w:r>
    </w:p>
    <w:p w:rsidR="00000000" w:rsidRPr="00B211FC" w:rsidP="00B211FC">
      <w:pPr>
        <w:pStyle w:val="ListBullet"/>
      </w:pPr>
      <w:r w:rsidRPr="00B211FC">
        <w:t>recording rectification activities in accordance with SOPs.</w:t>
      </w:r>
    </w:p>
    <w:p w:rsidR="00000000" w:rsidRPr="00B211FC" w:rsidP="00B211FC">
      <w:pPr>
        <w:pStyle w:val="AllowPageBreak"/>
      </w:pPr>
    </w:p>
    <w:p w:rsidR="00000000" w:rsidRPr="00B211FC" w:rsidP="00B211FC">
      <w:pPr>
        <w:pStyle w:val="Heading1"/>
      </w:pPr>
      <w:bookmarkStart w:id="12" w:name="O_941197"/>
      <w:bookmarkEnd w:id="12"/>
      <w:r w:rsidRPr="00B211FC">
        <w:t>Knowledge Evidence</w:t>
      </w:r>
    </w:p>
    <w:p w:rsidR="00000000" w:rsidRPr="00B211FC" w:rsidP="00854B42">
      <w:pPr>
        <w:pStyle w:val="BodyText"/>
      </w:pPr>
      <w:r w:rsidRPr="00B211FC">
        <w:t>Evidence required to demonstrate the required knowledge for this unit must be relevant to and satisfy the requirements of the elements and performance criteria and include knowledge of:</w:t>
      </w:r>
    </w:p>
    <w:p w:rsidR="00000000" w:rsidRPr="00B211FC" w:rsidP="00B211FC">
      <w:pPr>
        <w:pStyle w:val="ListBullet"/>
      </w:pPr>
      <w:r w:rsidRPr="00B211FC">
        <w:t>safe work practices and procedures and use of personal protective equipment (PPE)</w:t>
      </w:r>
    </w:p>
    <w:p w:rsidR="00000000" w:rsidRPr="00B211FC" w:rsidP="00B211FC">
      <w:pPr>
        <w:pStyle w:val="ListBullet"/>
      </w:pPr>
      <w:r w:rsidRPr="00B211FC">
        <w:t>operation and characteristics of active and passive components</w:t>
      </w:r>
    </w:p>
    <w:p w:rsidR="00000000" w:rsidRPr="00B211FC" w:rsidP="00B211FC">
      <w:pPr>
        <w:pStyle w:val="ListBullet"/>
      </w:pPr>
      <w:r w:rsidRPr="00B211FC">
        <w:t>basic motor operation of various types</w:t>
      </w:r>
    </w:p>
    <w:p w:rsidR="00000000" w:rsidRPr="00B211FC" w:rsidP="00B211FC">
      <w:pPr>
        <w:pStyle w:val="ListBullet"/>
      </w:pPr>
      <w:r w:rsidRPr="00B211FC">
        <w:t>function of the electrical equipment/component within the circuit</w:t>
      </w:r>
    </w:p>
    <w:p w:rsidR="00000000" w:rsidRPr="00B211FC" w:rsidP="00B211FC">
      <w:pPr>
        <w:pStyle w:val="ListBullet"/>
      </w:pPr>
      <w:r w:rsidRPr="00B211FC">
        <w:t>releva</w:t>
      </w:r>
      <w:r w:rsidRPr="00B211FC">
        <w:t>nt regulatory requirements</w:t>
      </w:r>
    </w:p>
    <w:p w:rsidR="00000000" w:rsidRPr="00B211FC" w:rsidP="00B211FC">
      <w:pPr>
        <w:pStyle w:val="ListBullet"/>
      </w:pPr>
      <w:r w:rsidRPr="00B211FC">
        <w:t>electrical equipment/component isolation procedures</w:t>
      </w:r>
    </w:p>
    <w:p w:rsidR="00000000" w:rsidRPr="00B211FC" w:rsidP="00B211FC">
      <w:pPr>
        <w:pStyle w:val="ListBullet"/>
      </w:pPr>
      <w:r w:rsidRPr="00B211FC">
        <w:t>test equipment to be used to verify isolation of the electrical equipment/circuit</w:t>
      </w:r>
    </w:p>
    <w:p w:rsidR="00000000" w:rsidRPr="00B211FC" w:rsidP="00B211FC">
      <w:pPr>
        <w:pStyle w:val="ListBullet"/>
      </w:pPr>
      <w:r w:rsidRPr="00B211FC">
        <w:t>errors indicated by built-in devices</w:t>
      </w:r>
    </w:p>
    <w:p w:rsidR="00000000" w:rsidRPr="00B211FC" w:rsidP="00B211FC">
      <w:pPr>
        <w:pStyle w:val="ListBullet"/>
      </w:pPr>
      <w:r w:rsidRPr="00B211FC">
        <w:t>procedures for:</w:t>
      </w:r>
    </w:p>
    <w:p w:rsidR="00000000" w:rsidRPr="00B211FC" w:rsidP="00B211FC">
      <w:pPr>
        <w:pStyle w:val="ListBullet2"/>
      </w:pPr>
      <w:r w:rsidRPr="00B211FC">
        <w:t>testing the operation of the electrical e</w:t>
      </w:r>
      <w:r w:rsidRPr="00B211FC">
        <w:t>quipment/component and tools, equipment and techniques to be used and reasons for selection</w:t>
      </w:r>
    </w:p>
    <w:p w:rsidR="00000000" w:rsidRPr="00B211FC" w:rsidP="00B211FC">
      <w:pPr>
        <w:pStyle w:val="ListBullet2"/>
      </w:pPr>
      <w:r w:rsidRPr="00B211FC">
        <w:t>localising faults in electrical equipment/components</w:t>
      </w:r>
    </w:p>
    <w:p w:rsidR="00000000" w:rsidRPr="00B211FC" w:rsidP="00B211FC">
      <w:pPr>
        <w:pStyle w:val="ListBullet2"/>
      </w:pPr>
      <w:r w:rsidRPr="00B211FC">
        <w:t>recording/reporting faults in electrical equipment/components</w:t>
      </w:r>
    </w:p>
    <w:p w:rsidR="00000000" w:rsidRPr="00B211FC" w:rsidP="00B211FC">
      <w:pPr>
        <w:pStyle w:val="ListBullet2"/>
      </w:pPr>
      <w:r w:rsidRPr="00B211FC">
        <w:t>recording electrical equipment/component rectific</w:t>
      </w:r>
      <w:r w:rsidRPr="00B211FC">
        <w:t>ations</w:t>
      </w:r>
    </w:p>
    <w:p w:rsidR="00000000" w:rsidRPr="00B211FC" w:rsidP="00B211FC">
      <w:pPr>
        <w:pStyle w:val="ListBullet"/>
      </w:pPr>
      <w:r w:rsidRPr="00B211FC">
        <w:t>specifications of the electrical equipment/component</w:t>
      </w:r>
    </w:p>
    <w:p w:rsidR="00000000" w:rsidRPr="00B211FC" w:rsidP="00B211FC">
      <w:pPr>
        <w:pStyle w:val="ListBullet"/>
      </w:pPr>
      <w:r w:rsidRPr="00B211FC">
        <w:t>variations between test results and specifications</w:t>
      </w:r>
    </w:p>
    <w:p w:rsidR="00000000" w:rsidRPr="00B211FC" w:rsidP="00B211FC">
      <w:pPr>
        <w:pStyle w:val="ListBullet"/>
      </w:pPr>
      <w:r w:rsidRPr="00B211FC">
        <w:t xml:space="preserve">techniques/procedures and adjustments that can be made for returning the electrical equipment/components to specification.  </w:t>
      </w:r>
    </w:p>
    <w:p w:rsidR="00000000" w:rsidRPr="00B211FC" w:rsidP="00B211FC">
      <w:pPr>
        <w:pStyle w:val="AllowPageBreak"/>
      </w:pPr>
    </w:p>
    <w:p w:rsidR="00000000" w:rsidRPr="00B211FC" w:rsidP="00B211FC">
      <w:pPr>
        <w:pStyle w:val="Heading1"/>
      </w:pPr>
      <w:bookmarkStart w:id="13" w:name="O_941196"/>
      <w:bookmarkEnd w:id="13"/>
      <w:r w:rsidRPr="00B211FC">
        <w:t>Assessment Conditions</w:t>
      </w:r>
    </w:p>
    <w:p w:rsidR="00000000" w:rsidRPr="00B211FC" w:rsidP="00B211FC">
      <w:pPr>
        <w:pStyle w:val="ListBullet"/>
      </w:pPr>
      <w:r w:rsidRPr="00B211FC">
        <w:t>Assessors must:</w:t>
      </w:r>
    </w:p>
    <w:p w:rsidR="00000000" w:rsidRPr="00B211FC" w:rsidP="00B211FC">
      <w:pPr>
        <w:pStyle w:val="ListBullet2"/>
      </w:pPr>
      <w:r w:rsidRPr="00B211FC">
        <w:t>have vocational competency in fault finding/repairing electrical equipment/components up to 250 volts single phase supply at least to the level being assessed with relevant industry knowledge and experience</w:t>
      </w:r>
    </w:p>
    <w:p w:rsidR="00000000" w:rsidRPr="00B211FC" w:rsidP="00B211FC">
      <w:pPr>
        <w:pStyle w:val="ListBullet2"/>
      </w:pPr>
      <w:r w:rsidRPr="00B211FC">
        <w:t>satisfy t</w:t>
      </w:r>
      <w:r w:rsidRPr="00B211FC">
        <w:t xml:space="preserve">he assessor requirements in the </w:t>
      </w:r>
      <w:r w:rsidRPr="00B211FC">
        <w:rPr>
          <w:rStyle w:val="Emphasis"/>
        </w:rPr>
        <w:t xml:space="preserve">Standards for Registered Training Organisations 2015 or </w:t>
      </w:r>
      <w:r w:rsidRPr="00B211FC">
        <w:t>its replacement</w:t>
      </w:r>
      <w:r w:rsidRPr="00B211FC">
        <w:rPr>
          <w:rStyle w:val="Emphasis"/>
        </w:rPr>
        <w:t xml:space="preserve"> </w:t>
      </w:r>
      <w:r w:rsidRPr="00B211FC">
        <w:t xml:space="preserve">and comply with the </w:t>
      </w:r>
      <w:r w:rsidRPr="00B211FC">
        <w:rPr>
          <w:rStyle w:val="Emphasis"/>
        </w:rPr>
        <w:t xml:space="preserve">National Vocational Education and Training Regulator Act 2011, </w:t>
      </w:r>
      <w:r w:rsidRPr="00B211FC">
        <w:t>its replacement</w:t>
      </w:r>
      <w:r w:rsidRPr="00B211FC">
        <w:rPr>
          <w:rStyle w:val="Emphasis"/>
        </w:rPr>
        <w:t xml:space="preserve"> </w:t>
      </w:r>
      <w:r w:rsidRPr="00B211FC">
        <w:t xml:space="preserve">or equivalent legislation covering VET regulation in </w:t>
      </w:r>
      <w:r w:rsidRPr="00B211FC">
        <w:t>a non-referring state/territory as the case requires</w:t>
      </w:r>
    </w:p>
    <w:p w:rsidR="00000000" w:rsidRPr="00B211FC" w:rsidP="00B211FC">
      <w:pPr>
        <w:pStyle w:val="ListBullet"/>
      </w:pPr>
      <w:r w:rsidRPr="00B211FC">
        <w:t>Where possible assessment must occur in operational workplace situations. Where this is not possible or where personal safety or environmental damage are limiting factors, assessment must occur in a suf</w:t>
      </w:r>
      <w:r w:rsidRPr="00B211FC">
        <w:t xml:space="preserve">ficiently rigorous simulated environment that reflects realistic operational workplace conditions. This must cover all aspects of workplace performance, including environment, task skills, task management skills, contingency management skills and job role </w:t>
      </w:r>
      <w:r w:rsidRPr="00B211FC">
        <w:t>environment skills</w:t>
      </w:r>
    </w:p>
    <w:p w:rsidR="00000000" w:rsidRPr="00B211FC" w:rsidP="00B211FC">
      <w:pPr>
        <w:pStyle w:val="ListBullet"/>
      </w:pPr>
      <w:r w:rsidRPr="00B211FC">
        <w:t>Conditions for assessment must include access to all tools, equipment, materials and documentation required, including relevant workplace procedures, product and manufacturing specifications</w:t>
      </w:r>
    </w:p>
    <w:p w:rsidR="00000000" w:rsidRPr="00B211FC" w:rsidP="00B211FC">
      <w:pPr>
        <w:pStyle w:val="ListBullet"/>
      </w:pPr>
      <w:r w:rsidRPr="00B211FC">
        <w:t>Assessment processes and techniques must be ap</w:t>
      </w:r>
      <w:r w:rsidRPr="00B211FC">
        <w:t>propriate to the language, literacy and numeracy requirements of the work being performed and the needs of the candidate.</w:t>
      </w:r>
    </w:p>
    <w:p w:rsidR="00000000" w:rsidRPr="00B211FC" w:rsidP="00B211FC">
      <w:pPr>
        <w:pStyle w:val="AllowPageBreak"/>
      </w:pPr>
    </w:p>
    <w:p w:rsidR="00000000" w:rsidRPr="00B211FC" w:rsidP="00B211FC">
      <w:pPr>
        <w:pStyle w:val="Heading1"/>
      </w:pPr>
      <w:bookmarkStart w:id="14" w:name="O_941194"/>
      <w:bookmarkEnd w:id="14"/>
      <w:r w:rsidRPr="00B211FC">
        <w:t>Links</w:t>
      </w:r>
    </w:p>
    <w:p w:rsidR="00000000" w:rsidRPr="00B211FC" w:rsidP="00854B42">
      <w:pPr>
        <w:pStyle w:val="BodyText"/>
      </w:pPr>
      <w:r w:rsidRPr="00B211F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D05EC">
        <w:rPr>
          <w:rStyle w:val="Hyperlink"/>
        </w:rPr>
        <w:t>https://vetnet.gov.au/Pages/TrainingDocs.aspx?q=b7050d37-5fd0-4740-8f7d-3b7a49c10bb2</w:t>
      </w:r>
      <w:r>
        <w:fldChar w:fldCharType="end"/>
      </w:r>
    </w:p>
    <w:p w:rsidR="00000000" w:rsidRPr="00B211FC" w:rsidP="00B211FC"/>
    <w:sectPr w:rsidSect="00B211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rsidRPr="00854B42" w:rsidP="00854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42" w:rsidP="00B21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4B42" w:rsidP="00B211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4B42" w:rsidP="00B211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rsidP="00B211FC">
    <w:pPr>
      <w:pStyle w:val="Footer"/>
      <w:framePr w:wrap="around"/>
    </w:pPr>
    <w:r>
      <w:fldChar w:fldCharType="begin"/>
    </w:r>
    <w:r>
      <w:instrText xml:space="preserve"> DOCPROPERTY  Subject  \* MERGEFORMAT </w:instrText>
    </w:r>
    <w:r>
      <w:fldChar w:fldCharType="separate"/>
    </w:r>
    <w:r w:rsidR="00854B42">
      <w:t>Approved</w:t>
    </w:r>
    <w:r w:rsidR="00854B42">
      <w:fldChar w:fldCharType="end"/>
    </w:r>
    <w:r>
      <w:tab/>
      <w:t xml:space="preserve">Page </w:t>
    </w:r>
    <w:r>
      <w:fldChar w:fldCharType="begin"/>
    </w:r>
    <w:r>
      <w:instrText xml:space="preserve"> PAGE  \* Arabic  \* MERGEFORMAT </w:instrText>
    </w:r>
    <w:r>
      <w:fldChar w:fldCharType="separate"/>
    </w:r>
    <w:r w:rsidR="00854B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B42">
      <w:rPr>
        <w:noProof/>
      </w:rPr>
      <w:t>5</w:t>
    </w:r>
    <w:r>
      <w:rPr>
        <w:noProof/>
      </w:rPr>
      <w:fldChar w:fldCharType="end"/>
    </w:r>
  </w:p>
  <w:p w:rsidR="00B211FC" w:rsidP="00B211FC">
    <w:pPr>
      <w:pStyle w:val="Footer"/>
      <w:framePr w:wrap="around"/>
    </w:pPr>
    <w:r>
      <w:t xml:space="preserve">© Commonwealth of Australia, </w:t>
    </w:r>
    <w:r>
      <w:fldChar w:fldCharType="begin"/>
    </w:r>
    <w:r>
      <w:instrText xml:space="preserve"> DATE  \@ "yyyy"  \* MERGEFORMAT </w:instrText>
    </w:r>
    <w:r>
      <w:fldChar w:fldCharType="separate"/>
    </w:r>
    <w:r w:rsidR="00854B42">
      <w:rPr>
        <w:noProof/>
      </w:rPr>
      <w:t>2025</w:t>
    </w:r>
    <w:r>
      <w:fldChar w:fldCharType="end"/>
    </w:r>
    <w:r>
      <w:tab/>
    </w:r>
    <w:r>
      <w:fldChar w:fldCharType="begin"/>
    </w:r>
    <w:r>
      <w:instrText xml:space="preserve"> DOCPROPERTY  Author  \* MERGEFORMAT </w:instrText>
    </w:r>
    <w:r>
      <w:fldChar w:fldCharType="separate"/>
    </w:r>
    <w:r w:rsidR="00854B42">
      <w:t>Manufacturing Industry Skills Alliance</w:t>
    </w:r>
    <w:r w:rsidR="00854B42">
      <w:fldChar w:fldCharType="end"/>
    </w:r>
  </w:p>
  <w:p w:rsidR="00B211FC" w:rsidP="00B211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1FC" w:rsidRPr="00854B42" w:rsidP="00854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42" w:rsidRPr="002D2AF8" w:rsidP="00B211FC">
    <w:pPr>
      <w:pStyle w:val="Header"/>
      <w:framePr w:wrap="around"/>
    </w:pPr>
    <w:r>
      <w:fldChar w:fldCharType="begin"/>
    </w:r>
    <w:r>
      <w:instrText xml:space="preserve"> TITLE   \* MERGEFORMAT </w:instrText>
    </w:r>
    <w:r>
      <w:fldChar w:fldCharType="separate"/>
    </w:r>
    <w:r>
      <w:t>MEM18045 Fault find and repair electrical equipment/components up to 250 volts single phase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B42" w:rsidP="00B211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C" w:rsidRPr="002D2AF8" w:rsidP="00B211FC">
    <w:pPr>
      <w:pStyle w:val="Header"/>
      <w:framePr w:wrap="around"/>
    </w:pPr>
    <w:r>
      <w:fldChar w:fldCharType="begin"/>
    </w:r>
    <w:r>
      <w:instrText xml:space="preserve"> TITLE   \* MERGEFORMAT </w:instrText>
    </w:r>
    <w:r>
      <w:fldChar w:fldCharType="separate"/>
    </w:r>
    <w:r w:rsidR="00854B42">
      <w:t>MEM18045 Fault find and repair electrical equipment/components up to 250 volts single phase supply</w:t>
    </w:r>
    <w:r w:rsidR="00854B42">
      <w:fldChar w:fldCharType="end"/>
    </w:r>
    <w:r>
      <w:tab/>
      <w:t xml:space="preserve">Date this document was generated: </w:t>
    </w:r>
    <w:r>
      <w:fldChar w:fldCharType="begin"/>
    </w:r>
    <w:r>
      <w:instrText xml:space="preserve"> CREATEDATE  \@ "d MMMM yyyy"  \* MERGEFORMAT </w:instrText>
    </w:r>
    <w:r>
      <w:fldChar w:fldCharType="separate"/>
    </w:r>
    <w:r w:rsidR="00854B42">
      <w:rPr>
        <w:noProof/>
      </w:rPr>
      <w:t>2 March 2025</w:t>
    </w:r>
    <w:r>
      <w:fldChar w:fldCharType="end"/>
    </w:r>
  </w:p>
  <w:p w:rsidR="00B211FC" w:rsidP="00B21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C5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523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C8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1FC"/>
    <w:pPr>
      <w:spacing w:before="360" w:after="60"/>
      <w:outlineLvl w:val="0"/>
    </w:pPr>
    <w:rPr>
      <w:sz w:val="32"/>
    </w:rPr>
  </w:style>
  <w:style w:type="paragraph" w:styleId="Heading2">
    <w:name w:val="heading 2"/>
    <w:basedOn w:val="HeadingBase"/>
    <w:next w:val="BodyText"/>
    <w:link w:val="Heading2Char"/>
    <w:qFormat/>
    <w:rsid w:val="00B211FC"/>
    <w:pPr>
      <w:keepLines/>
      <w:spacing w:before="240" w:after="120"/>
      <w:outlineLvl w:val="1"/>
    </w:pPr>
    <w:rPr>
      <w:sz w:val="28"/>
      <w:szCs w:val="40"/>
    </w:rPr>
  </w:style>
  <w:style w:type="paragraph" w:styleId="Heading3">
    <w:name w:val="heading 3"/>
    <w:basedOn w:val="HeadingBase"/>
    <w:next w:val="BodyText"/>
    <w:link w:val="Heading3Char"/>
    <w:qFormat/>
    <w:rsid w:val="00B211FC"/>
    <w:pPr>
      <w:spacing w:before="180" w:after="120"/>
      <w:outlineLvl w:val="2"/>
    </w:pPr>
    <w:rPr>
      <w:spacing w:val="-10"/>
      <w:kern w:val="32"/>
    </w:rPr>
  </w:style>
  <w:style w:type="paragraph" w:styleId="Heading4">
    <w:name w:val="heading 4"/>
    <w:basedOn w:val="HeadingBase"/>
    <w:next w:val="BodyText"/>
    <w:link w:val="Heading4Char"/>
    <w:qFormat/>
    <w:rsid w:val="00B211FC"/>
    <w:pPr>
      <w:spacing w:before="160" w:after="120"/>
      <w:outlineLvl w:val="3"/>
    </w:pPr>
    <w:rPr>
      <w:sz w:val="22"/>
    </w:rPr>
  </w:style>
  <w:style w:type="paragraph" w:styleId="Heading5">
    <w:name w:val="heading 5"/>
    <w:basedOn w:val="HeadingBase"/>
    <w:next w:val="Normal"/>
    <w:link w:val="Heading5Char"/>
    <w:qFormat/>
    <w:rsid w:val="00B211FC"/>
    <w:pPr>
      <w:spacing w:before="80"/>
      <w:outlineLvl w:val="4"/>
    </w:pPr>
    <w:rPr>
      <w:color w:val="918585"/>
      <w:sz w:val="20"/>
    </w:rPr>
  </w:style>
  <w:style w:type="paragraph" w:styleId="Heading6">
    <w:name w:val="heading 6"/>
    <w:basedOn w:val="HeadingBase"/>
    <w:next w:val="Normal"/>
    <w:link w:val="Heading6Char"/>
    <w:qFormat/>
    <w:rsid w:val="00B211FC"/>
    <w:pPr>
      <w:spacing w:before="60"/>
      <w:outlineLvl w:val="5"/>
    </w:pPr>
    <w:rPr>
      <w:color w:val="918585"/>
      <w:sz w:val="20"/>
    </w:rPr>
  </w:style>
  <w:style w:type="paragraph" w:styleId="Heading7">
    <w:name w:val="heading 7"/>
    <w:basedOn w:val="Normal"/>
    <w:next w:val="Normal"/>
    <w:link w:val="Heading7Char"/>
    <w:qFormat/>
    <w:rsid w:val="00B211FC"/>
    <w:pPr>
      <w:ind w:left="720"/>
      <w:outlineLvl w:val="6"/>
    </w:pPr>
    <w:rPr>
      <w:i/>
    </w:rPr>
  </w:style>
  <w:style w:type="paragraph" w:styleId="Heading8">
    <w:name w:val="heading 8"/>
    <w:basedOn w:val="Normal"/>
    <w:next w:val="Normal"/>
    <w:link w:val="Heading8Char"/>
    <w:qFormat/>
    <w:rsid w:val="00B211FC"/>
    <w:pPr>
      <w:ind w:left="720"/>
      <w:outlineLvl w:val="7"/>
    </w:pPr>
    <w:rPr>
      <w:i/>
    </w:rPr>
  </w:style>
  <w:style w:type="paragraph" w:styleId="Heading9">
    <w:name w:val="heading 9"/>
    <w:basedOn w:val="Normal"/>
    <w:next w:val="Normal"/>
    <w:link w:val="Heading9Char"/>
    <w:qFormat/>
    <w:rsid w:val="00B211FC"/>
    <w:pPr>
      <w:ind w:left="720"/>
      <w:outlineLvl w:val="8"/>
    </w:pPr>
    <w:rPr>
      <w:i/>
    </w:rPr>
  </w:style>
  <w:style w:type="character" w:default="1" w:styleId="DefaultParagraphFont">
    <w:name w:val="Default Paragraph Font"/>
    <w:uiPriority w:val="1"/>
    <w:unhideWhenUsed/>
    <w:rsid w:val="00B21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1FC"/>
  </w:style>
  <w:style w:type="character" w:customStyle="1" w:styleId="Heading1Char">
    <w:name w:val="Heading 1 Char"/>
    <w:basedOn w:val="DefaultParagraphFont"/>
    <w:link w:val="Heading1"/>
    <w:rsid w:val="00B211FC"/>
    <w:rPr>
      <w:rFonts w:ascii="Times New Roman" w:eastAsia="Times New Roman" w:hAnsi="Times New Roman" w:cs="Times New Roman"/>
      <w:b/>
      <w:sz w:val="32"/>
      <w:szCs w:val="20"/>
      <w:lang w:eastAsia="en-US"/>
    </w:rPr>
  </w:style>
  <w:style w:type="paragraph" w:styleId="BodyText">
    <w:name w:val="Body Text"/>
    <w:basedOn w:val="Normal"/>
    <w:link w:val="BodyTextChar"/>
    <w:rsid w:val="00B211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1FC"/>
    <w:rPr>
      <w:rFonts w:ascii="Times New Roman" w:eastAsia="Times New Roman" w:hAnsi="Times New Roman" w:cs="Times New Roman"/>
      <w:sz w:val="24"/>
      <w:lang w:eastAsia="en-US"/>
    </w:rPr>
  </w:style>
  <w:style w:type="paragraph" w:styleId="ListBullet">
    <w:name w:val="List Bullet"/>
    <w:basedOn w:val="List"/>
    <w:rsid w:val="00B211FC"/>
    <w:pPr>
      <w:numPr>
        <w:numId w:val="12"/>
      </w:numPr>
      <w:tabs>
        <w:tab w:val="clear" w:pos="340"/>
      </w:tabs>
      <w:spacing w:before="40" w:after="40"/>
    </w:pPr>
  </w:style>
  <w:style w:type="character" w:customStyle="1" w:styleId="SpecialBold">
    <w:name w:val="Special Bold"/>
    <w:basedOn w:val="DefaultParagraphFont"/>
    <w:rsid w:val="00B211FC"/>
    <w:rPr>
      <w:b/>
      <w:spacing w:val="0"/>
    </w:rPr>
  </w:style>
  <w:style w:type="paragraph" w:styleId="ListBullet2">
    <w:name w:val="List Bullet 2"/>
    <w:basedOn w:val="List2"/>
    <w:rsid w:val="00B211FC"/>
    <w:pPr>
      <w:numPr>
        <w:numId w:val="13"/>
      </w:numPr>
      <w:tabs>
        <w:tab w:val="clear" w:pos="680"/>
      </w:tabs>
    </w:pPr>
  </w:style>
  <w:style w:type="character" w:styleId="Emphasis">
    <w:name w:val="Emphasis"/>
    <w:basedOn w:val="DefaultParagraphFont"/>
    <w:qFormat/>
    <w:rsid w:val="00B211FC"/>
    <w:rPr>
      <w:i/>
    </w:rPr>
  </w:style>
  <w:style w:type="paragraph" w:customStyle="1" w:styleId="SuperHeading">
    <w:name w:val="SuperHeading"/>
    <w:basedOn w:val="Normal"/>
    <w:rsid w:val="00B211FC"/>
    <w:pPr>
      <w:spacing w:before="240" w:after="120"/>
      <w:outlineLvl w:val="0"/>
    </w:pPr>
    <w:rPr>
      <w:rFonts w:ascii="Times New Roman" w:hAnsi="Times New Roman"/>
      <w:b/>
      <w:sz w:val="32"/>
    </w:rPr>
  </w:style>
  <w:style w:type="paragraph" w:customStyle="1" w:styleId="AllowPageBreak">
    <w:name w:val="AllowPageBreak"/>
    <w:rsid w:val="00B21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1FC"/>
    <w:rPr>
      <w:rFonts w:ascii="Courier New" w:eastAsia="Times New Roman" w:hAnsi="Courier New" w:cs="Times New Roman"/>
      <w:i/>
      <w:szCs w:val="20"/>
      <w:lang w:eastAsia="en-US"/>
    </w:rPr>
  </w:style>
  <w:style w:type="paragraph" w:customStyle="1" w:styleId="HeadingBase">
    <w:name w:val="Heading Base"/>
    <w:rsid w:val="00B21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1FC"/>
    <w:pPr>
      <w:tabs>
        <w:tab w:val="right" w:leader="dot" w:pos="9072"/>
      </w:tabs>
      <w:ind w:left="567"/>
    </w:pPr>
    <w:rPr>
      <w:szCs w:val="22"/>
    </w:rPr>
  </w:style>
  <w:style w:type="paragraph" w:customStyle="1" w:styleId="TOCBase">
    <w:name w:val="TOC Base"/>
    <w:rsid w:val="00B21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1FC"/>
    <w:pPr>
      <w:tabs>
        <w:tab w:val="right" w:leader="dot" w:pos="9072"/>
      </w:tabs>
      <w:spacing w:before="40" w:after="40"/>
      <w:ind w:left="284"/>
    </w:pPr>
    <w:rPr>
      <w:rFonts w:ascii="Times New Roman" w:hAnsi="Times New Roman"/>
    </w:rPr>
  </w:style>
  <w:style w:type="paragraph" w:styleId="TOC1">
    <w:name w:val="toc 1"/>
    <w:basedOn w:val="TOCBase"/>
    <w:next w:val="Normal"/>
    <w:rsid w:val="00B211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1FC"/>
    <w:rPr>
      <w:rFonts w:ascii="Times New Roman" w:eastAsia="Times New Roman" w:hAnsi="Times New Roman" w:cs="Times New Roman"/>
      <w:sz w:val="16"/>
      <w:lang w:eastAsia="en-US"/>
    </w:rPr>
  </w:style>
  <w:style w:type="paragraph" w:styleId="Title">
    <w:name w:val="Title"/>
    <w:basedOn w:val="HeadingBase"/>
    <w:link w:val="TitleChar"/>
    <w:qFormat/>
    <w:rsid w:val="00B211FC"/>
    <w:pPr>
      <w:spacing w:before="5040"/>
      <w:jc w:val="center"/>
    </w:pPr>
    <w:rPr>
      <w:sz w:val="48"/>
      <w:szCs w:val="72"/>
      <w:lang w:val="en-US"/>
    </w:rPr>
  </w:style>
  <w:style w:type="character" w:customStyle="1" w:styleId="TitleChar">
    <w:name w:val="Title Char"/>
    <w:basedOn w:val="DefaultParagraphFont"/>
    <w:link w:val="Title"/>
    <w:rsid w:val="00B21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1FC"/>
    <w:pPr>
      <w:tabs>
        <w:tab w:val="left" w:pos="3600"/>
        <w:tab w:val="left" w:pos="3958"/>
      </w:tabs>
    </w:pPr>
  </w:style>
  <w:style w:type="paragraph" w:styleId="List">
    <w:name w:val="List"/>
    <w:basedOn w:val="BodyText"/>
    <w:next w:val="BodyText"/>
    <w:rsid w:val="00B211FC"/>
    <w:pPr>
      <w:tabs>
        <w:tab w:val="left" w:pos="340"/>
      </w:tabs>
      <w:spacing w:before="60" w:after="60"/>
      <w:ind w:left="340" w:hanging="340"/>
    </w:pPr>
  </w:style>
  <w:style w:type="paragraph" w:customStyle="1" w:styleId="Note">
    <w:name w:val="Note"/>
    <w:basedOn w:val="BodyText"/>
    <w:rsid w:val="00B21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1FC"/>
    <w:pPr>
      <w:framePr w:wrap="auto" w:hAnchor="text" w:y="6049"/>
    </w:pPr>
    <w:rPr>
      <w:color w:val="000000"/>
      <w:sz w:val="40"/>
    </w:rPr>
  </w:style>
  <w:style w:type="paragraph" w:customStyle="1" w:styleId="TOCTitle">
    <w:name w:val="TOCTitle"/>
    <w:basedOn w:val="Heading1"/>
    <w:rsid w:val="00B211FC"/>
    <w:pPr>
      <w:spacing w:after="240"/>
      <w:jc w:val="center"/>
      <w:outlineLvl w:val="9"/>
    </w:pPr>
    <w:rPr>
      <w:caps/>
    </w:rPr>
  </w:style>
  <w:style w:type="paragraph" w:customStyle="1" w:styleId="Version">
    <w:name w:val="Version"/>
    <w:rsid w:val="00B21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1FC"/>
    <w:pPr>
      <w:keepNext w:val="0"/>
      <w:tabs>
        <w:tab w:val="right" w:pos="4176"/>
      </w:tabs>
      <w:ind w:left="198" w:hanging="198"/>
    </w:pPr>
    <w:rPr>
      <w:rFonts w:ascii="Garamond" w:hAnsi="Garamond"/>
    </w:rPr>
  </w:style>
  <w:style w:type="paragraph" w:styleId="IndexHeading">
    <w:name w:val="index heading"/>
    <w:basedOn w:val="Normal"/>
    <w:next w:val="Index1"/>
    <w:semiHidden/>
    <w:rsid w:val="00B211FC"/>
    <w:pPr>
      <w:spacing w:before="120" w:after="120"/>
    </w:pPr>
    <w:rPr>
      <w:rFonts w:ascii="Arial" w:hAnsi="Arial"/>
      <w:b/>
      <w:color w:val="918585"/>
      <w:sz w:val="24"/>
    </w:rPr>
  </w:style>
  <w:style w:type="paragraph" w:styleId="Header">
    <w:name w:val="header"/>
    <w:basedOn w:val="Normal"/>
    <w:link w:val="HeaderChar"/>
    <w:rsid w:val="00B21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1FC"/>
    <w:rPr>
      <w:rFonts w:ascii="Times New Roman" w:eastAsia="Times New Roman" w:hAnsi="Times New Roman" w:cs="Times New Roman"/>
      <w:sz w:val="16"/>
      <w:szCs w:val="20"/>
      <w:lang w:val="en-GB" w:eastAsia="en-US"/>
    </w:rPr>
  </w:style>
  <w:style w:type="paragraph" w:customStyle="1" w:styleId="Chapter">
    <w:name w:val="Chapter"/>
    <w:basedOn w:val="Normal"/>
    <w:rsid w:val="00B211FC"/>
    <w:pPr>
      <w:spacing w:before="240"/>
    </w:pPr>
    <w:rPr>
      <w:rFonts w:ascii="Times New Roman" w:hAnsi="Times New Roman"/>
      <w:smallCaps/>
      <w:spacing w:val="80"/>
      <w:sz w:val="28"/>
    </w:rPr>
  </w:style>
  <w:style w:type="paragraph" w:customStyle="1" w:styleId="InChapter">
    <w:name w:val="InChapter"/>
    <w:basedOn w:val="Heading3"/>
    <w:rsid w:val="00B211FC"/>
    <w:pPr>
      <w:spacing w:after="240"/>
      <w:outlineLvl w:val="9"/>
    </w:pPr>
    <w:rPr>
      <w:noProof/>
    </w:rPr>
  </w:style>
  <w:style w:type="paragraph" w:styleId="Index2">
    <w:name w:val="index 2"/>
    <w:basedOn w:val="Normal"/>
    <w:next w:val="Normal"/>
    <w:semiHidden/>
    <w:rsid w:val="00B211FC"/>
    <w:pPr>
      <w:tabs>
        <w:tab w:val="right" w:pos="4176"/>
      </w:tabs>
      <w:ind w:left="568" w:hanging="284"/>
    </w:pPr>
    <w:rPr>
      <w:rFonts w:ascii="Garamond" w:hAnsi="Garamond"/>
    </w:rPr>
  </w:style>
  <w:style w:type="paragraph" w:customStyle="1" w:styleId="Byline">
    <w:name w:val="Byline"/>
    <w:rsid w:val="00B21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1FC"/>
    <w:pPr>
      <w:tabs>
        <w:tab w:val="clear" w:pos="3600"/>
        <w:tab w:val="clear" w:pos="3958"/>
      </w:tabs>
      <w:jc w:val="right"/>
    </w:pPr>
  </w:style>
  <w:style w:type="paragraph" w:styleId="Caption">
    <w:name w:val="caption"/>
    <w:basedOn w:val="BodyText"/>
    <w:next w:val="Normal"/>
    <w:qFormat/>
    <w:rsid w:val="00B211FC"/>
    <w:pPr>
      <w:framePr w:w="2268" w:hSpace="181" w:vSpace="181" w:wrap="around" w:vAnchor="text" w:hAnchor="page" w:x="1135" w:y="285" w:anchorLock="1"/>
    </w:pPr>
    <w:rPr>
      <w:i/>
    </w:rPr>
  </w:style>
  <w:style w:type="paragraph" w:customStyle="1" w:styleId="MiniTOCTitle">
    <w:name w:val="MiniTOCTitle"/>
    <w:basedOn w:val="Heading4"/>
    <w:rsid w:val="00B211FC"/>
    <w:pPr>
      <w:spacing w:before="240"/>
      <w:outlineLvl w:val="9"/>
    </w:pPr>
    <w:rPr>
      <w:noProof/>
      <w:sz w:val="24"/>
    </w:rPr>
  </w:style>
  <w:style w:type="paragraph" w:customStyle="1" w:styleId="MiniTOCItem">
    <w:name w:val="MiniTOCItem"/>
    <w:basedOn w:val="ListBullet"/>
    <w:rsid w:val="00B211FC"/>
    <w:pPr>
      <w:numPr>
        <w:numId w:val="0"/>
      </w:numPr>
      <w:tabs>
        <w:tab w:val="right" w:leader="dot" w:pos="6521"/>
      </w:tabs>
      <w:spacing w:before="0" w:after="0"/>
    </w:pPr>
  </w:style>
  <w:style w:type="paragraph" w:customStyle="1" w:styleId="TOFTitle">
    <w:name w:val="TOFTitle"/>
    <w:basedOn w:val="TOCTitle"/>
    <w:rsid w:val="00B211FC"/>
  </w:style>
  <w:style w:type="paragraph" w:styleId="TableofFigures">
    <w:name w:val="table of figures"/>
    <w:basedOn w:val="Normal"/>
    <w:next w:val="Normal"/>
    <w:semiHidden/>
    <w:rsid w:val="00B211FC"/>
    <w:pPr>
      <w:tabs>
        <w:tab w:val="right" w:leader="dot" w:pos="9072"/>
      </w:tabs>
      <w:ind w:left="970" w:hanging="403"/>
    </w:pPr>
    <w:rPr>
      <w:rFonts w:ascii="Times New Roman" w:hAnsi="Times New Roman"/>
      <w:b/>
    </w:rPr>
  </w:style>
  <w:style w:type="paragraph" w:styleId="ListNumber">
    <w:name w:val="List Number"/>
    <w:basedOn w:val="List"/>
    <w:rsid w:val="00B211FC"/>
    <w:pPr>
      <w:numPr>
        <w:numId w:val="15"/>
      </w:numPr>
      <w:tabs>
        <w:tab w:val="clear" w:pos="340"/>
      </w:tabs>
    </w:pPr>
  </w:style>
  <w:style w:type="character" w:customStyle="1" w:styleId="WingdingSymbols">
    <w:name w:val="Wingding Symbols"/>
    <w:rsid w:val="00B211FC"/>
    <w:rPr>
      <w:rFonts w:ascii="Wingdings" w:hAnsi="Wingdings"/>
    </w:rPr>
  </w:style>
  <w:style w:type="paragraph" w:customStyle="1" w:styleId="TableHeading">
    <w:name w:val="Table Heading"/>
    <w:basedOn w:val="HeadingBase"/>
    <w:rsid w:val="00B211FC"/>
    <w:pPr>
      <w:keepLines/>
      <w:pBdr>
        <w:bottom w:val="single" w:sz="6" w:space="1" w:color="918585"/>
      </w:pBdr>
      <w:spacing w:before="240"/>
    </w:pPr>
  </w:style>
  <w:style w:type="character" w:customStyle="1" w:styleId="HotSpot">
    <w:name w:val="HotSpot"/>
    <w:rsid w:val="00B211FC"/>
    <w:rPr>
      <w:color w:val="0033CC"/>
      <w:u w:val="none"/>
    </w:rPr>
  </w:style>
  <w:style w:type="paragraph" w:customStyle="1" w:styleId="BodyTextRight">
    <w:name w:val="Body Text Right"/>
    <w:basedOn w:val="BodyText"/>
    <w:rsid w:val="00B211FC"/>
    <w:pPr>
      <w:spacing w:before="0" w:after="0"/>
      <w:jc w:val="right"/>
    </w:pPr>
  </w:style>
  <w:style w:type="paragraph" w:styleId="Index3">
    <w:name w:val="index 3"/>
    <w:basedOn w:val="ListNumber2"/>
    <w:next w:val="Normal"/>
    <w:semiHidden/>
    <w:rsid w:val="00B211FC"/>
    <w:pPr>
      <w:numPr>
        <w:numId w:val="0"/>
      </w:numPr>
      <w:tabs>
        <w:tab w:val="right" w:leader="dot" w:pos="4176"/>
      </w:tabs>
    </w:pPr>
  </w:style>
  <w:style w:type="paragraph" w:styleId="ListNumber2">
    <w:name w:val="List Number 2"/>
    <w:basedOn w:val="List2"/>
    <w:rsid w:val="00B211FC"/>
    <w:pPr>
      <w:numPr>
        <w:numId w:val="10"/>
      </w:numPr>
      <w:tabs>
        <w:tab w:val="clear" w:pos="1060"/>
      </w:tabs>
    </w:pPr>
  </w:style>
  <w:style w:type="paragraph" w:customStyle="1" w:styleId="MarginNote">
    <w:name w:val="Margin Note"/>
    <w:basedOn w:val="BodyText"/>
    <w:rsid w:val="00B21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1FC"/>
    <w:rPr>
      <w:sz w:val="32"/>
    </w:rPr>
  </w:style>
  <w:style w:type="paragraph" w:customStyle="1" w:styleId="HeadingProcedure">
    <w:name w:val="Heading Procedure"/>
    <w:basedOn w:val="HeadingBase"/>
    <w:next w:val="Normal"/>
    <w:rsid w:val="00B211FC"/>
    <w:pPr>
      <w:tabs>
        <w:tab w:val="left" w:pos="0"/>
      </w:tabs>
      <w:spacing w:before="120" w:after="60"/>
    </w:pPr>
    <w:rPr>
      <w:i/>
      <w:color w:val="918585"/>
      <w:sz w:val="22"/>
    </w:rPr>
  </w:style>
  <w:style w:type="paragraph" w:customStyle="1" w:styleId="TableBodyText">
    <w:name w:val="Table Body Text"/>
    <w:basedOn w:val="BodyText"/>
    <w:rsid w:val="00B211FC"/>
    <w:pPr>
      <w:spacing w:before="60" w:after="60"/>
    </w:pPr>
  </w:style>
  <w:style w:type="paragraph" w:styleId="ListContinue">
    <w:name w:val="List Continue"/>
    <w:basedOn w:val="List"/>
    <w:rsid w:val="00B211FC"/>
    <w:pPr>
      <w:ind w:firstLine="0"/>
    </w:pPr>
  </w:style>
  <w:style w:type="paragraph" w:customStyle="1" w:styleId="ListNote">
    <w:name w:val="List Note"/>
    <w:basedOn w:val="List"/>
    <w:rsid w:val="00B211FC"/>
    <w:pPr>
      <w:pBdr>
        <w:top w:val="single" w:sz="6" w:space="2" w:color="918585"/>
        <w:bottom w:val="single" w:sz="6" w:space="2" w:color="918585"/>
      </w:pBdr>
      <w:tabs>
        <w:tab w:val="left" w:pos="1021"/>
      </w:tabs>
      <w:ind w:firstLine="0"/>
    </w:pPr>
  </w:style>
  <w:style w:type="paragraph" w:customStyle="1" w:styleId="Warning">
    <w:name w:val="Warning"/>
    <w:basedOn w:val="BodyText"/>
    <w:rsid w:val="00B211FC"/>
    <w:pPr>
      <w:shd w:val="clear" w:color="auto" w:fill="D9D9D9"/>
      <w:tabs>
        <w:tab w:val="left" w:pos="992"/>
      </w:tabs>
      <w:ind w:left="119" w:right="119"/>
    </w:pPr>
    <w:rPr>
      <w:sz w:val="20"/>
    </w:rPr>
  </w:style>
  <w:style w:type="paragraph" w:customStyle="1" w:styleId="MarginIcons">
    <w:name w:val="Margin Icons"/>
    <w:basedOn w:val="BodyText"/>
    <w:rsid w:val="00B21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1FC"/>
    <w:rPr>
      <w:rFonts w:ascii="Courier New" w:hAnsi="Courier New"/>
    </w:rPr>
  </w:style>
  <w:style w:type="paragraph" w:customStyle="1" w:styleId="NoteBullet">
    <w:name w:val="Note Bullet"/>
    <w:basedOn w:val="Note"/>
    <w:rsid w:val="00B211FC"/>
    <w:pPr>
      <w:tabs>
        <w:tab w:val="clear" w:pos="680"/>
      </w:tabs>
      <w:spacing w:before="60" w:after="60"/>
    </w:pPr>
  </w:style>
  <w:style w:type="paragraph" w:customStyle="1" w:styleId="SubHeading2">
    <w:name w:val="SubHeading2"/>
    <w:basedOn w:val="HeadingBase"/>
    <w:rsid w:val="00B211FC"/>
    <w:pPr>
      <w:spacing w:before="240" w:after="60"/>
    </w:pPr>
    <w:rPr>
      <w:sz w:val="20"/>
    </w:rPr>
  </w:style>
  <w:style w:type="paragraph" w:customStyle="1" w:styleId="SubHeading1">
    <w:name w:val="SubHeading1"/>
    <w:basedOn w:val="HeadingBase"/>
    <w:rsid w:val="00B211FC"/>
    <w:pPr>
      <w:spacing w:before="240" w:after="60"/>
    </w:pPr>
    <w:rPr>
      <w:color w:val="918585"/>
      <w:sz w:val="22"/>
    </w:rPr>
  </w:style>
  <w:style w:type="paragraph" w:customStyle="1" w:styleId="SideHeading">
    <w:name w:val="Side Heading"/>
    <w:basedOn w:val="HeadingBase"/>
    <w:rsid w:val="00B21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1FC"/>
    <w:pPr>
      <w:tabs>
        <w:tab w:val="num" w:pos="360"/>
      </w:tabs>
    </w:pPr>
  </w:style>
  <w:style w:type="paragraph" w:styleId="PlainText">
    <w:name w:val="Plain Text"/>
    <w:basedOn w:val="Normal"/>
    <w:link w:val="PlainTextChar"/>
    <w:rsid w:val="00B211FC"/>
    <w:rPr>
      <w:sz w:val="20"/>
    </w:rPr>
  </w:style>
  <w:style w:type="character" w:customStyle="1" w:styleId="PlainTextChar">
    <w:name w:val="Plain Text Char"/>
    <w:basedOn w:val="DefaultParagraphFont"/>
    <w:link w:val="PlainText"/>
    <w:rsid w:val="00B211FC"/>
    <w:rPr>
      <w:rFonts w:ascii="Courier New" w:eastAsia="Times New Roman" w:hAnsi="Courier New" w:cs="Times New Roman"/>
      <w:sz w:val="20"/>
      <w:szCs w:val="20"/>
      <w:lang w:eastAsia="en-US"/>
    </w:rPr>
  </w:style>
  <w:style w:type="character" w:customStyle="1" w:styleId="MenuOption">
    <w:name w:val="Menu Option"/>
    <w:basedOn w:val="DefaultParagraphFont"/>
    <w:rsid w:val="00B211FC"/>
    <w:rPr>
      <w:b/>
      <w:smallCaps/>
    </w:rPr>
  </w:style>
  <w:style w:type="paragraph" w:customStyle="1" w:styleId="TableListNumber">
    <w:name w:val="Table List Number"/>
    <w:basedOn w:val="ListNumber"/>
    <w:rsid w:val="00B211FC"/>
    <w:pPr>
      <w:numPr>
        <w:numId w:val="0"/>
      </w:numPr>
    </w:pPr>
  </w:style>
  <w:style w:type="paragraph" w:styleId="TOC4">
    <w:name w:val="toc 4"/>
    <w:basedOn w:val="TOCBase"/>
    <w:next w:val="Normal"/>
    <w:semiHidden/>
    <w:rsid w:val="00B211FC"/>
    <w:pPr>
      <w:tabs>
        <w:tab w:val="right" w:leader="dot" w:pos="9071"/>
      </w:tabs>
      <w:ind w:left="1701"/>
    </w:pPr>
  </w:style>
  <w:style w:type="paragraph" w:customStyle="1" w:styleId="ListAlpha">
    <w:name w:val="List Alpha"/>
    <w:basedOn w:val="List"/>
    <w:rsid w:val="00B211FC"/>
    <w:pPr>
      <w:numPr>
        <w:numId w:val="9"/>
      </w:numPr>
    </w:pPr>
  </w:style>
  <w:style w:type="paragraph" w:customStyle="1" w:styleId="ListAlpha2">
    <w:name w:val="List Alpha 2"/>
    <w:basedOn w:val="List2"/>
    <w:rsid w:val="00B211FC"/>
    <w:pPr>
      <w:numPr>
        <w:numId w:val="8"/>
      </w:numPr>
    </w:pPr>
  </w:style>
  <w:style w:type="paragraph" w:styleId="List2">
    <w:name w:val="List 2"/>
    <w:basedOn w:val="BodyText"/>
    <w:rsid w:val="00B211FC"/>
    <w:pPr>
      <w:tabs>
        <w:tab w:val="left" w:pos="680"/>
      </w:tabs>
      <w:spacing w:before="60" w:after="60"/>
      <w:ind w:left="680" w:hanging="340"/>
    </w:pPr>
  </w:style>
  <w:style w:type="paragraph" w:styleId="List3">
    <w:name w:val="List 3"/>
    <w:basedOn w:val="BodyText"/>
    <w:rsid w:val="00B211FC"/>
    <w:pPr>
      <w:tabs>
        <w:tab w:val="left" w:pos="1021"/>
      </w:tabs>
      <w:spacing w:before="60" w:after="60"/>
      <w:ind w:left="1020" w:hanging="340"/>
    </w:pPr>
  </w:style>
  <w:style w:type="paragraph" w:styleId="List4">
    <w:name w:val="List 4"/>
    <w:basedOn w:val="BodyText"/>
    <w:rsid w:val="00B211FC"/>
    <w:pPr>
      <w:tabs>
        <w:tab w:val="left" w:pos="1361"/>
      </w:tabs>
      <w:spacing w:before="60" w:after="60"/>
      <w:ind w:left="1361" w:hanging="340"/>
    </w:pPr>
  </w:style>
  <w:style w:type="paragraph" w:styleId="List5">
    <w:name w:val="List 5"/>
    <w:basedOn w:val="BodyText"/>
    <w:rsid w:val="00B211FC"/>
    <w:pPr>
      <w:tabs>
        <w:tab w:val="left" w:pos="1701"/>
      </w:tabs>
      <w:spacing w:before="60" w:after="60"/>
      <w:ind w:left="1701" w:hanging="340"/>
    </w:pPr>
  </w:style>
  <w:style w:type="paragraph" w:styleId="ListBullet3">
    <w:name w:val="List Bullet 3"/>
    <w:basedOn w:val="List3"/>
    <w:rsid w:val="00B211FC"/>
    <w:pPr>
      <w:numPr>
        <w:numId w:val="14"/>
      </w:numPr>
      <w:tabs>
        <w:tab w:val="clear" w:pos="1021"/>
      </w:tabs>
      <w:ind w:left="1037" w:hanging="357"/>
    </w:pPr>
  </w:style>
  <w:style w:type="paragraph" w:styleId="ListBullet4">
    <w:name w:val="List Bullet 4"/>
    <w:basedOn w:val="List4"/>
    <w:rsid w:val="00B211FC"/>
    <w:pPr>
      <w:numPr>
        <w:numId w:val="3"/>
      </w:numPr>
      <w:tabs>
        <w:tab w:val="clear" w:pos="1361"/>
      </w:tabs>
    </w:pPr>
  </w:style>
  <w:style w:type="paragraph" w:styleId="ListBullet5">
    <w:name w:val="List Bullet 5"/>
    <w:basedOn w:val="List5"/>
    <w:rsid w:val="00B211FC"/>
    <w:pPr>
      <w:numPr>
        <w:numId w:val="4"/>
      </w:numPr>
    </w:pPr>
  </w:style>
  <w:style w:type="paragraph" w:styleId="ListContinue2">
    <w:name w:val="List Continue 2"/>
    <w:basedOn w:val="List2"/>
    <w:rsid w:val="00B211FC"/>
    <w:pPr>
      <w:ind w:firstLine="0"/>
    </w:pPr>
  </w:style>
  <w:style w:type="paragraph" w:styleId="ListContinue3">
    <w:name w:val="List Continue 3"/>
    <w:basedOn w:val="List3"/>
    <w:rsid w:val="00B211FC"/>
    <w:pPr>
      <w:ind w:left="1021" w:firstLine="0"/>
    </w:pPr>
  </w:style>
  <w:style w:type="paragraph" w:styleId="ListContinue4">
    <w:name w:val="List Continue 4"/>
    <w:basedOn w:val="List4"/>
    <w:rsid w:val="00B211FC"/>
    <w:pPr>
      <w:ind w:firstLine="0"/>
    </w:pPr>
  </w:style>
  <w:style w:type="paragraph" w:styleId="ListContinue5">
    <w:name w:val="List Continue 5"/>
    <w:basedOn w:val="List5"/>
    <w:rsid w:val="00B211FC"/>
    <w:pPr>
      <w:ind w:firstLine="0"/>
    </w:pPr>
  </w:style>
  <w:style w:type="paragraph" w:styleId="ListNumber3">
    <w:name w:val="List Number 3"/>
    <w:basedOn w:val="List3"/>
    <w:rsid w:val="00B211FC"/>
    <w:pPr>
      <w:numPr>
        <w:numId w:val="5"/>
      </w:numPr>
    </w:pPr>
  </w:style>
  <w:style w:type="paragraph" w:styleId="ListNumber4">
    <w:name w:val="List Number 4"/>
    <w:basedOn w:val="List4"/>
    <w:rsid w:val="00B211FC"/>
    <w:pPr>
      <w:numPr>
        <w:numId w:val="6"/>
      </w:numPr>
    </w:pPr>
  </w:style>
  <w:style w:type="paragraph" w:styleId="ListNumber5">
    <w:name w:val="List Number 5"/>
    <w:basedOn w:val="List5"/>
    <w:rsid w:val="00B211FC"/>
    <w:pPr>
      <w:numPr>
        <w:numId w:val="7"/>
      </w:numPr>
    </w:pPr>
  </w:style>
  <w:style w:type="paragraph" w:styleId="BlockText">
    <w:name w:val="Block Text"/>
    <w:basedOn w:val="Normal"/>
    <w:rsid w:val="00B211FC"/>
    <w:pPr>
      <w:spacing w:after="120"/>
      <w:ind w:left="1440" w:right="1440"/>
    </w:pPr>
  </w:style>
  <w:style w:type="character" w:customStyle="1" w:styleId="Subscript">
    <w:name w:val="Subscript"/>
    <w:basedOn w:val="DefaultParagraphFont"/>
    <w:rsid w:val="00B211FC"/>
    <w:rPr>
      <w:sz w:val="16"/>
      <w:vertAlign w:val="subscript"/>
    </w:rPr>
  </w:style>
  <w:style w:type="character" w:customStyle="1" w:styleId="Superscript">
    <w:name w:val="Superscript"/>
    <w:basedOn w:val="DefaultParagraphFont"/>
    <w:rsid w:val="00B211FC"/>
    <w:rPr>
      <w:sz w:val="16"/>
      <w:vertAlign w:val="superscript"/>
    </w:rPr>
  </w:style>
  <w:style w:type="character" w:customStyle="1" w:styleId="Symbols">
    <w:name w:val="Symbols"/>
    <w:basedOn w:val="DefaultParagraphFont"/>
    <w:rsid w:val="00B211FC"/>
    <w:rPr>
      <w:rFonts w:ascii="Symbol" w:hAnsi="Symbol"/>
    </w:rPr>
  </w:style>
  <w:style w:type="character" w:customStyle="1" w:styleId="MenuOptions">
    <w:name w:val="Menu Options"/>
    <w:basedOn w:val="DefaultParagraphFont"/>
    <w:rsid w:val="00B211FC"/>
    <w:rPr>
      <w:rFonts w:ascii="Arial Narrow" w:hAnsi="Arial Narrow"/>
      <w:smallCaps/>
    </w:rPr>
  </w:style>
  <w:style w:type="character" w:customStyle="1" w:styleId="Buttons">
    <w:name w:val="Buttons"/>
    <w:basedOn w:val="DefaultParagraphFont"/>
    <w:rsid w:val="00B211FC"/>
    <w:rPr>
      <w:b/>
    </w:rPr>
  </w:style>
  <w:style w:type="character" w:customStyle="1" w:styleId="Underlined">
    <w:name w:val="Underlined"/>
    <w:basedOn w:val="DefaultParagraphFont"/>
    <w:rsid w:val="00B211FC"/>
    <w:rPr>
      <w:u w:val="single"/>
    </w:rPr>
  </w:style>
  <w:style w:type="paragraph" w:customStyle="1" w:styleId="TableBodyTextRight">
    <w:name w:val="Table Body Text Right"/>
    <w:basedOn w:val="TableBodyText"/>
    <w:rsid w:val="00B211FC"/>
    <w:pPr>
      <w:widowControl w:val="0"/>
      <w:autoSpaceDE w:val="0"/>
      <w:autoSpaceDN w:val="0"/>
      <w:adjustRightInd w:val="0"/>
      <w:jc w:val="right"/>
    </w:pPr>
    <w:rPr>
      <w:rFonts w:cs="Arial"/>
      <w:szCs w:val="18"/>
    </w:rPr>
  </w:style>
  <w:style w:type="paragraph" w:customStyle="1" w:styleId="CopyrightText">
    <w:name w:val="Copyright Text"/>
    <w:basedOn w:val="BodyText"/>
    <w:rsid w:val="00B211FC"/>
    <w:rPr>
      <w:sz w:val="18"/>
    </w:rPr>
  </w:style>
  <w:style w:type="paragraph" w:customStyle="1" w:styleId="BodySmallRight">
    <w:name w:val="Body Small Right"/>
    <w:basedOn w:val="BodyTextRight"/>
    <w:rsid w:val="00B211FC"/>
    <w:rPr>
      <w:sz w:val="18"/>
      <w:szCs w:val="18"/>
    </w:rPr>
  </w:style>
  <w:style w:type="paragraph" w:customStyle="1" w:styleId="MarginEdition">
    <w:name w:val="Margin Edition"/>
    <w:basedOn w:val="MarginNote"/>
    <w:rsid w:val="00B211FC"/>
    <w:pPr>
      <w:spacing w:before="0" w:after="0"/>
    </w:pPr>
    <w:rPr>
      <w:rFonts w:ascii="Times New Roman" w:hAnsi="Times New Roman"/>
      <w:color w:val="999999"/>
    </w:rPr>
  </w:style>
  <w:style w:type="paragraph" w:customStyle="1" w:styleId="Spacer">
    <w:name w:val="Spacer"/>
    <w:basedOn w:val="Normal"/>
    <w:rsid w:val="00B211FC"/>
    <w:rPr>
      <w:sz w:val="2"/>
      <w:szCs w:val="2"/>
    </w:rPr>
  </w:style>
  <w:style w:type="character" w:customStyle="1" w:styleId="Small">
    <w:name w:val="Small"/>
    <w:basedOn w:val="DefaultParagraphFont"/>
    <w:rsid w:val="00B211FC"/>
    <w:rPr>
      <w:sz w:val="16"/>
    </w:rPr>
  </w:style>
  <w:style w:type="paragraph" w:customStyle="1" w:styleId="WideTable">
    <w:name w:val="Wide Table"/>
    <w:basedOn w:val="Normal"/>
    <w:rsid w:val="00B211FC"/>
    <w:pPr>
      <w:ind w:left="-1418"/>
    </w:pPr>
    <w:rPr>
      <w:sz w:val="2"/>
      <w:szCs w:val="2"/>
    </w:rPr>
  </w:style>
  <w:style w:type="character" w:styleId="PageNumber">
    <w:name w:val="page number"/>
    <w:basedOn w:val="DefaultParagraphFont"/>
    <w:rsid w:val="00B211FC"/>
  </w:style>
  <w:style w:type="paragraph" w:styleId="Quote">
    <w:name w:val="Quote"/>
    <w:basedOn w:val="Heading1"/>
    <w:link w:val="QuoteChar"/>
    <w:qFormat/>
    <w:rsid w:val="00B211FC"/>
    <w:rPr>
      <w:b w:val="0"/>
      <w:sz w:val="72"/>
      <w:szCs w:val="72"/>
      <w:lang w:val="en-NZ"/>
    </w:rPr>
  </w:style>
  <w:style w:type="character" w:customStyle="1" w:styleId="QuoteChar">
    <w:name w:val="Quote Char"/>
    <w:basedOn w:val="DefaultParagraphFont"/>
    <w:link w:val="Quote"/>
    <w:rsid w:val="00B21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1FC"/>
    <w:pPr>
      <w:pageBreakBefore/>
    </w:pPr>
  </w:style>
  <w:style w:type="paragraph" w:customStyle="1" w:styleId="Border">
    <w:name w:val="Border"/>
    <w:basedOn w:val="Normal"/>
    <w:qFormat/>
    <w:rsid w:val="00B21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1FC"/>
    <w:rPr>
      <w:b/>
      <w:bCs/>
      <w:i/>
      <w:iCs/>
      <w:color w:val="auto"/>
    </w:rPr>
  </w:style>
  <w:style w:type="paragraph" w:styleId="IntenseQuote">
    <w:name w:val="Intense Quote"/>
    <w:basedOn w:val="Normal"/>
    <w:next w:val="Normal"/>
    <w:link w:val="IntenseQuoteChar"/>
    <w:uiPriority w:val="30"/>
    <w:qFormat/>
    <w:rsid w:val="00B21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1FC"/>
    <w:rPr>
      <w:smallCaps/>
      <w:color w:val="auto"/>
      <w:u w:val="single"/>
    </w:rPr>
  </w:style>
  <w:style w:type="character" w:styleId="IntenseReference">
    <w:name w:val="Intense Reference"/>
    <w:basedOn w:val="DefaultParagraphFont"/>
    <w:uiPriority w:val="32"/>
    <w:qFormat/>
    <w:rsid w:val="00B211FC"/>
    <w:rPr>
      <w:b/>
      <w:bCs/>
      <w:smallCaps/>
      <w:color w:val="auto"/>
      <w:spacing w:val="5"/>
      <w:u w:val="single"/>
    </w:rPr>
  </w:style>
  <w:style w:type="paragraph" w:customStyle="1" w:styleId="2ColumnHeading">
    <w:name w:val="2Column Heading"/>
    <w:basedOn w:val="BodyText"/>
    <w:qFormat/>
    <w:rsid w:val="00B211FC"/>
    <w:pPr>
      <w:spacing w:after="60"/>
      <w:ind w:left="-2268"/>
    </w:pPr>
    <w:rPr>
      <w:b/>
    </w:rPr>
  </w:style>
  <w:style w:type="paragraph" w:customStyle="1" w:styleId="Heading1TOC">
    <w:name w:val="Heading1 TOC"/>
    <w:basedOn w:val="Normal"/>
    <w:qFormat/>
    <w:rsid w:val="00B211FC"/>
    <w:pPr>
      <w:spacing w:before="240" w:after="120"/>
    </w:pPr>
    <w:rPr>
      <w:rFonts w:ascii="Times New Roman" w:hAnsi="Times New Roman"/>
      <w:b/>
      <w:sz w:val="32"/>
    </w:rPr>
  </w:style>
  <w:style w:type="paragraph" w:customStyle="1" w:styleId="Heading2TOC">
    <w:name w:val="Heading2 TOC"/>
    <w:basedOn w:val="Normal"/>
    <w:qFormat/>
    <w:rsid w:val="00B211FC"/>
    <w:pPr>
      <w:spacing w:before="240" w:after="60"/>
    </w:pPr>
    <w:rPr>
      <w:rFonts w:ascii="Times New Roman" w:hAnsi="Times New Roman"/>
      <w:b/>
      <w:sz w:val="28"/>
    </w:rPr>
  </w:style>
  <w:style w:type="character" w:customStyle="1" w:styleId="Underline">
    <w:name w:val="Underline"/>
    <w:basedOn w:val="DefaultParagraphFont"/>
    <w:qFormat/>
    <w:rsid w:val="00B211FC"/>
    <w:rPr>
      <w:u w:val="single"/>
    </w:rPr>
  </w:style>
  <w:style w:type="character" w:customStyle="1" w:styleId="BoldandItalics">
    <w:name w:val="Bold and Italics"/>
    <w:qFormat/>
    <w:rsid w:val="00B211FC"/>
    <w:rPr>
      <w:b/>
      <w:i/>
      <w:u w:val="none"/>
    </w:rPr>
  </w:style>
  <w:style w:type="paragraph" w:styleId="BalloonText">
    <w:name w:val="Balloon Text"/>
    <w:basedOn w:val="Normal"/>
    <w:link w:val="BalloonTextChar"/>
    <w:rsid w:val="00B211FC"/>
    <w:rPr>
      <w:rFonts w:ascii="Tahoma" w:hAnsi="Tahoma" w:cs="Tahoma"/>
      <w:sz w:val="16"/>
      <w:szCs w:val="16"/>
    </w:rPr>
  </w:style>
  <w:style w:type="character" w:customStyle="1" w:styleId="BalloonTextChar">
    <w:name w:val="Balloon Text Char"/>
    <w:basedOn w:val="DefaultParagraphFont"/>
    <w:link w:val="BalloonText"/>
    <w:rsid w:val="00B21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1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1FC"/>
    <w:rPr>
      <w:b/>
      <w:color w:val="660033"/>
      <w:spacing w:val="0"/>
    </w:rPr>
  </w:style>
  <w:style w:type="paragraph" w:customStyle="1" w:styleId="Nameditemlist">
    <w:name w:val="Named item list"/>
    <w:basedOn w:val="BodyText"/>
    <w:qFormat/>
    <w:rsid w:val="00B211FC"/>
    <w:pPr>
      <w:tabs>
        <w:tab w:val="left" w:pos="2835"/>
      </w:tabs>
      <w:ind w:left="2835" w:hanging="2835"/>
    </w:pPr>
  </w:style>
  <w:style w:type="paragraph" w:customStyle="1" w:styleId="BodyTextnopadding">
    <w:name w:val="Body Text no padding"/>
    <w:basedOn w:val="BodyText"/>
    <w:qFormat/>
    <w:rsid w:val="00B211FC"/>
    <w:pPr>
      <w:spacing w:before="0" w:after="0"/>
    </w:pPr>
  </w:style>
  <w:style w:type="paragraph" w:customStyle="1" w:styleId="BodyTextBold">
    <w:name w:val="Body Text Bold"/>
    <w:basedOn w:val="BodyText"/>
    <w:qFormat/>
    <w:rsid w:val="00B211FC"/>
    <w:rPr>
      <w:b/>
    </w:rPr>
  </w:style>
  <w:style w:type="character" w:styleId="Hyperlink">
    <w:name w:val="Hyperlink"/>
    <w:basedOn w:val="DefaultParagraphFont"/>
    <w:uiPriority w:val="99"/>
    <w:unhideWhenUsed/>
    <w:rsid w:val="00854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8056</Characters>
  <Application>Microsoft Office Word</Application>
  <DocSecurity>0</DocSecurity>
  <Lines>268</Lines>
  <Paragraphs>156</Paragraphs>
  <ScaleCrop>false</ScaleCrop>
  <Company>Author-it Software Corporation Ltd.</Company>
  <LinksUpToDate>false</LinksUpToDate>
  <CharactersWithSpaces>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MEM18045 Fault find and repair electrical equipment/components up to 250 volts single phase supply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