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429" w:rsidP="00346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MEM18011 Shut down and isolate machines/equipment</w:t>
      </w:r>
      <w:r>
        <w:fldChar w:fldCharType="end"/>
      </w:r>
    </w:p>
    <w:p w:rsidR="00346429" w:rsidP="00346429">
      <w:pPr>
        <w:pStyle w:val="Version"/>
        <w:sectPr w:rsidSect="002E7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12A" w:rsidP="002E712A">
      <w:pPr>
        <w:pStyle w:val="SuperHeading"/>
      </w:pPr>
      <w:r w:rsidRPr="002E712A">
        <w:t>MEM18011 Shut down and isolate machines/equipment</w:t>
      </w:r>
    </w:p>
    <w:p w:rsidR="00000000" w:rsidRPr="002E712A" w:rsidP="002E712A">
      <w:pPr>
        <w:pStyle w:val="Heading1"/>
      </w:pPr>
      <w:bookmarkStart w:id="1" w:name="O_940952"/>
      <w:bookmarkEnd w:id="1"/>
      <w:r w:rsidRPr="002E712A">
        <w:t>Modification History</w:t>
      </w:r>
    </w:p>
    <w:p w:rsidR="00000000" w:rsidRPr="002E712A" w:rsidP="00346429">
      <w:pPr>
        <w:pStyle w:val="BodyText"/>
      </w:pPr>
      <w:r w:rsidRPr="002E712A">
        <w:t xml:space="preserve">Release 1. Supersedes and is equivalent to MEM18011C Shut down and isolate machines/equipment </w:t>
      </w:r>
    </w:p>
    <w:p w:rsidR="00000000" w:rsidRPr="002E712A" w:rsidP="002E712A">
      <w:pPr>
        <w:pStyle w:val="Heading1"/>
      </w:pPr>
      <w:bookmarkStart w:id="2" w:name="O_940960"/>
      <w:bookmarkEnd w:id="2"/>
      <w:r w:rsidRPr="002E712A">
        <w:t>Application</w:t>
      </w:r>
    </w:p>
    <w:p w:rsidR="00000000" w:rsidRPr="002E712A" w:rsidP="00346429">
      <w:pPr>
        <w:pStyle w:val="BodyText"/>
      </w:pPr>
      <w:r w:rsidRPr="002E712A">
        <w:t>This unit of competency defines the skills and knowledge required to isolate and shut down machines and</w:t>
      </w:r>
      <w:r w:rsidRPr="002E712A">
        <w:t xml:space="preserve"> equipment and applies to situations that require extensive system knowledge that exclude the straightforward starting/stopping of machinery/equipment through the use of simple switching, including use of emergency switches.</w:t>
      </w:r>
    </w:p>
    <w:p w:rsidR="00000000" w:rsidRPr="002E712A" w:rsidP="00346429">
      <w:pPr>
        <w:pStyle w:val="BodyText"/>
      </w:pPr>
      <w:r w:rsidRPr="002E712A">
        <w:t>All shutdown and isolation mus</w:t>
      </w:r>
      <w:r w:rsidRPr="002E712A">
        <w:t>t comply with relevant regulations, Australian Standards and legislative requirements governing isolation and shutdown.</w:t>
      </w:r>
    </w:p>
    <w:p w:rsidR="00000000" w:rsidRPr="002E712A" w:rsidP="00346429">
      <w:pPr>
        <w:pStyle w:val="BodyText"/>
      </w:pPr>
      <w:r w:rsidRPr="002E712A">
        <w:t>Where interpretation of technical drawings is required unit MEM09002 Interpret technical drawing should also be selected.</w:t>
      </w:r>
    </w:p>
    <w:p w:rsidR="00000000" w:rsidRPr="002E712A" w:rsidP="00346429">
      <w:pPr>
        <w:pStyle w:val="BodyText"/>
      </w:pPr>
      <w:r w:rsidRPr="002E712A">
        <w:t>Where the se</w:t>
      </w:r>
      <w:r w:rsidRPr="002E712A">
        <w:t>lection and use of engineering measurement is required unit MEM12023 Perform engineering measurements should also be selected.</w:t>
      </w:r>
    </w:p>
    <w:p w:rsidR="00000000" w:rsidRPr="002E712A" w:rsidP="00346429">
      <w:pPr>
        <w:pStyle w:val="BodyText"/>
      </w:pPr>
      <w:r w:rsidRPr="002E712A">
        <w:t>Where the selection and use of tools is required unit MEM18001 Use hand tools and unit MEM18002 Use power tools/hand held operat</w:t>
      </w:r>
      <w:r w:rsidRPr="002E712A">
        <w:t xml:space="preserve">ions should also be selected as appropriate. </w:t>
      </w:r>
    </w:p>
    <w:p w:rsidR="00000000" w:rsidRPr="002E712A" w:rsidP="00346429">
      <w:pPr>
        <w:pStyle w:val="BodyText"/>
      </w:pPr>
      <w:r w:rsidRPr="002E712A">
        <w:t>No licensing, legislative or certification requirements apply to this unit at the time of publication.</w:t>
      </w:r>
    </w:p>
    <w:p w:rsidR="00000000" w:rsidRPr="002E712A" w:rsidP="00346429">
      <w:pPr>
        <w:pStyle w:val="Heading3"/>
      </w:pPr>
      <w:r w:rsidRPr="002E712A">
        <w:rPr>
          <w:rStyle w:val="SpecialBold"/>
        </w:rPr>
        <w:t>Band:</w:t>
      </w:r>
    </w:p>
    <w:p w:rsidR="00000000" w:rsidRPr="002E712A" w:rsidP="00346429">
      <w:pPr>
        <w:pStyle w:val="BodyText"/>
      </w:pPr>
      <w:r w:rsidRPr="002E712A">
        <w:t>This unit has dual status and is to be regarded as both a specialisation Band A unit and Specialisa</w:t>
      </w:r>
      <w:r w:rsidRPr="002E712A">
        <w:t>tion Band B unit for progression to C7 (AQF level IV).</w:t>
      </w:r>
    </w:p>
    <w:p w:rsidR="00000000" w:rsidRPr="002E712A" w:rsidP="00346429">
      <w:pPr>
        <w:pStyle w:val="Heading3"/>
      </w:pPr>
      <w:r w:rsidRPr="002E712A">
        <w:rPr>
          <w:rStyle w:val="SpecialBold"/>
        </w:rPr>
        <w:t>Unit Weight</w:t>
      </w:r>
      <w:r w:rsidRPr="002E712A">
        <w:t>:</w:t>
      </w:r>
      <w:r w:rsidRPr="002E712A">
        <w:tab/>
      </w:r>
      <w:r w:rsidRPr="002E712A">
        <w:rPr>
          <w:rStyle w:val="SpecialBold"/>
        </w:rPr>
        <w:t>2</w:t>
      </w:r>
    </w:p>
    <w:p w:rsidR="00000000" w:rsidRPr="002E712A" w:rsidP="002E712A">
      <w:pPr>
        <w:pStyle w:val="Heading1"/>
      </w:pPr>
      <w:bookmarkStart w:id="3" w:name="O_940959"/>
      <w:bookmarkEnd w:id="3"/>
      <w:r w:rsidRPr="002E712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Undertake manual handling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Work safely and effectively in manufacturing and engineering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2A" w:rsidP="002E712A">
            <w:pPr>
              <w:pStyle w:val="BodyText"/>
            </w:pPr>
            <w:r w:rsidRPr="002E712A">
              <w:t>Organise and communicate information</w:t>
            </w:r>
          </w:p>
        </w:tc>
      </w:tr>
    </w:tbl>
    <w:p w:rsidR="00000000" w:rsidRPr="002E712A" w:rsidP="002E712A">
      <w:pPr>
        <w:pStyle w:val="BodyText"/>
      </w:pPr>
    </w:p>
    <w:p w:rsidR="00000000" w:rsidRPr="002E712A" w:rsidP="002E712A">
      <w:pPr>
        <w:pStyle w:val="AllowPageBreak"/>
      </w:pPr>
    </w:p>
    <w:p w:rsidR="00000000" w:rsidRPr="002E712A" w:rsidP="002E712A">
      <w:pPr>
        <w:pStyle w:val="Heading1"/>
      </w:pPr>
      <w:bookmarkStart w:id="4" w:name="O_940958"/>
      <w:bookmarkEnd w:id="4"/>
      <w:r w:rsidRPr="002E712A">
        <w:t>Competency Field</w:t>
      </w:r>
    </w:p>
    <w:p w:rsidR="00000000" w:rsidRPr="002E712A" w:rsidP="00346429">
      <w:pPr>
        <w:pStyle w:val="BodyText"/>
      </w:pPr>
      <w:r w:rsidRPr="002E712A">
        <w:t>Maintenance and diagnostics</w:t>
      </w:r>
    </w:p>
    <w:p w:rsidR="00000000" w:rsidRPr="002E712A" w:rsidP="002E712A">
      <w:pPr>
        <w:pStyle w:val="Heading1"/>
      </w:pPr>
      <w:bookmarkStart w:id="5" w:name="O_940956"/>
      <w:bookmarkEnd w:id="5"/>
      <w:r w:rsidRPr="002E71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Performance criteria describe the performance needed to demon</w:t>
            </w:r>
            <w:r w:rsidRPr="002E712A">
              <w:t>strate achievement of the element.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2A" w:rsidP="002E712A">
            <w:pPr>
              <w:pStyle w:val="BodyText"/>
            </w:pPr>
            <w:r w:rsidRPr="002E712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Follow standard operating procedures (SOPs)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Comply with work health and safety (WHS) requirements at all times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Use appropriate personal protective equ</w:t>
            </w:r>
            <w:r w:rsidRPr="002E712A">
              <w:t>ipment (PPE) in accordance with SOPs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Identify job requirements from specifications, job sheets or work instructions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1.5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Identify any relevant regulations, Australian Standards and legislative requirements governing isolation and shutdown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2A" w:rsidP="002E712A">
            <w:pPr>
              <w:pStyle w:val="BodyText"/>
            </w:pPr>
            <w:r w:rsidRPr="002E712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rPr>
                <w:rStyle w:val="SpecialBold"/>
              </w:rPr>
              <w:t>Shut down and isolate machine/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Determine machine/equipment operational function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Undertake shutdown/isolation sequence safely and to SOPs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Ensure machine/equipment is depressurised/emptied/de-energised/bled to SOPs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Verify safe shutdown/isolation of machine/equipment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 xml:space="preserve">Install safety/security lock-off devices and signage 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2A" w:rsidP="002E712A">
            <w:pPr>
              <w:pStyle w:val="BodyText"/>
            </w:pPr>
            <w:r w:rsidRPr="002E712A">
              <w:t>Confirm shutdown and isolation complies with relevant regulations, Australian Standards and legislative requirements governing isolation</w:t>
            </w:r>
            <w:r w:rsidRPr="002E712A">
              <w:t xml:space="preserve"> and shutdown</w:t>
            </w:r>
          </w:p>
        </w:tc>
      </w:tr>
    </w:tbl>
    <w:p w:rsidR="00000000" w:rsidRPr="002E712A" w:rsidP="002E712A">
      <w:pPr>
        <w:pStyle w:val="BodyText"/>
      </w:pPr>
    </w:p>
    <w:p w:rsidR="00000000" w:rsidRPr="002E712A" w:rsidP="002E712A">
      <w:pPr>
        <w:pStyle w:val="AllowPageBreak"/>
      </w:pPr>
    </w:p>
    <w:p w:rsidR="00000000" w:rsidRPr="002E712A" w:rsidP="002E712A">
      <w:pPr>
        <w:pStyle w:val="Heading1"/>
      </w:pPr>
      <w:bookmarkStart w:id="6" w:name="O_940955"/>
      <w:bookmarkEnd w:id="6"/>
      <w:r w:rsidRPr="002E712A">
        <w:t>Foundation Skills</w:t>
      </w:r>
    </w:p>
    <w:p w:rsidR="00000000" w:rsidRPr="002E712A" w:rsidP="00346429">
      <w:pPr>
        <w:pStyle w:val="BodyText"/>
      </w:pPr>
      <w:r w:rsidRPr="002E712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E712A" w:rsidP="00346429">
      <w:pPr>
        <w:pStyle w:val="BodyText"/>
      </w:pPr>
      <w:r w:rsidRPr="002E712A">
        <w:t>Foundation skills essential to performance are explicit in the performance criteria of this unit of competency.</w:t>
      </w:r>
    </w:p>
    <w:p w:rsidR="00000000" w:rsidRPr="002E712A" w:rsidP="002E712A">
      <w:pPr>
        <w:pStyle w:val="Heading1"/>
      </w:pPr>
      <w:bookmarkStart w:id="7" w:name="O_940954"/>
      <w:bookmarkEnd w:id="7"/>
      <w:r w:rsidRPr="002E712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t>This field allows for different work environments and conditions that may affect performance. Essential ope</w:t>
            </w:r>
            <w:r w:rsidRPr="002E712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rPr>
                <w:rStyle w:val="SpecialBold"/>
              </w:rPr>
              <w:t>Shut down</w:t>
            </w:r>
            <w:r w:rsidRPr="002E712A">
              <w:t>/</w:t>
            </w:r>
            <w:r w:rsidRPr="002E712A">
              <w:rPr>
                <w:rStyle w:val="SpecialBold"/>
              </w:rPr>
              <w:t>isolate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2A" w:rsidP="002E712A">
            <w:pPr>
              <w:pStyle w:val="ListBullet"/>
            </w:pPr>
            <w:r w:rsidRPr="002E712A">
              <w:t xml:space="preserve">isolation of </w:t>
            </w:r>
            <w:r w:rsidRPr="002E712A">
              <w:t>mechanical and electrical drives</w:t>
            </w:r>
          </w:p>
          <w:p w:rsidR="00000000" w:rsidRPr="002E712A" w:rsidP="002E712A">
            <w:pPr>
              <w:pStyle w:val="ListBullet"/>
            </w:pPr>
            <w:r w:rsidRPr="002E712A">
              <w:t xml:space="preserve">pipework (pressure) </w:t>
            </w:r>
          </w:p>
          <w:p w:rsidR="00000000" w:rsidRPr="002E712A" w:rsidP="002E712A">
            <w:pPr>
              <w:pStyle w:val="ListBullet"/>
            </w:pPr>
            <w:r w:rsidRPr="002E712A">
              <w:t>rotating equipment utilising electrical lock-off isolators</w:t>
            </w:r>
          </w:p>
          <w:p w:rsidR="00000000" w:rsidRPr="002E712A" w:rsidP="002E712A">
            <w:pPr>
              <w:pStyle w:val="ListBullet"/>
            </w:pPr>
            <w:r w:rsidRPr="002E712A">
              <w:t>mechanical and power driven valves</w:t>
            </w:r>
          </w:p>
          <w:p w:rsidR="00000000" w:rsidP="002E712A">
            <w:pPr>
              <w:pStyle w:val="BodyText"/>
              <w:rPr>
                <w:lang w:val="en-NZ"/>
              </w:rPr>
            </w:pPr>
          </w:p>
        </w:tc>
      </w:tr>
      <w:tr w:rsidTr="002E7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2A">
            <w:pPr>
              <w:pStyle w:val="BodyText"/>
              <w:rPr>
                <w:lang w:val="en-NZ"/>
              </w:rPr>
            </w:pPr>
            <w:r w:rsidRPr="002E712A">
              <w:rPr>
                <w:rStyle w:val="SpecialBold"/>
              </w:rPr>
              <w:t>Machine</w:t>
            </w:r>
            <w:r w:rsidRPr="002E712A">
              <w:t>/</w:t>
            </w:r>
            <w:r w:rsidRPr="002E712A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2A" w:rsidP="002E712A">
            <w:pPr>
              <w:pStyle w:val="ListBullet"/>
            </w:pPr>
            <w:r w:rsidRPr="002E712A">
              <w:t>manual</w:t>
            </w:r>
          </w:p>
          <w:p w:rsidR="00000000" w:rsidRPr="002E712A" w:rsidP="002E712A">
            <w:pPr>
              <w:pStyle w:val="ListBullet"/>
            </w:pPr>
            <w:r w:rsidRPr="002E712A">
              <w:t xml:space="preserve">semi-automatic </w:t>
            </w:r>
          </w:p>
          <w:p w:rsidR="00000000" w:rsidRPr="002E712A" w:rsidP="002E712A">
            <w:pPr>
              <w:pStyle w:val="ListBullet"/>
            </w:pPr>
            <w:r w:rsidRPr="002E712A">
              <w:t>automatic machines of a stand-alone, continuous production or process nature</w:t>
            </w:r>
          </w:p>
          <w:p w:rsidR="00000000" w:rsidRPr="002E712A" w:rsidP="002E712A">
            <w:pPr>
              <w:pStyle w:val="BodyText"/>
            </w:pPr>
          </w:p>
        </w:tc>
      </w:tr>
    </w:tbl>
    <w:p w:rsidR="00000000" w:rsidRPr="002E712A" w:rsidP="002E712A">
      <w:pPr>
        <w:pStyle w:val="BodyText"/>
      </w:pPr>
    </w:p>
    <w:p w:rsidR="00000000" w:rsidRPr="002E712A" w:rsidP="002E712A">
      <w:pPr>
        <w:pStyle w:val="AllowPageBreak"/>
      </w:pPr>
    </w:p>
    <w:p w:rsidR="00000000" w:rsidRPr="002E712A" w:rsidP="002E712A">
      <w:pPr>
        <w:pStyle w:val="Heading1"/>
      </w:pPr>
      <w:bookmarkStart w:id="8" w:name="O_940953"/>
      <w:bookmarkEnd w:id="8"/>
      <w:r w:rsidRPr="002E712A">
        <w:t>Unit Mapping Information</w:t>
      </w:r>
    </w:p>
    <w:p w:rsidR="00000000" w:rsidRPr="002E712A" w:rsidP="00346429">
      <w:pPr>
        <w:pStyle w:val="BodyText"/>
      </w:pPr>
      <w:r w:rsidRPr="002E712A">
        <w:t xml:space="preserve">Release 1. Supersedes and is equivalent to MEM18011C Shut down and isolate machines/equipment </w:t>
      </w:r>
    </w:p>
    <w:p w:rsidR="00000000" w:rsidRPr="002E712A" w:rsidP="002E712A">
      <w:pPr>
        <w:pStyle w:val="Heading1"/>
      </w:pPr>
      <w:bookmarkStart w:id="9" w:name="O_940946"/>
      <w:bookmarkEnd w:id="9"/>
      <w:r w:rsidRPr="002E712A">
        <w:t>Links</w:t>
      </w:r>
    </w:p>
    <w:p w:rsidR="00000000" w:rsidRPr="002E712A" w:rsidP="00346429">
      <w:pPr>
        <w:pStyle w:val="BodyText"/>
      </w:pPr>
      <w:r w:rsidRPr="002E712A">
        <w:t>Companion Volume</w:t>
      </w:r>
      <w:r w:rsidRPr="002E712A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309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712A" w:rsidP="002E712A"/>
    <w:sectPr w:rsidSect="002E71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2A" w:rsidRPr="00346429" w:rsidP="00346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29" w:rsidP="002E7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429" w:rsidP="002E7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6429" w:rsidP="002E7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12A" w:rsidRPr="00346429" w:rsidP="00346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29" w:rsidRPr="002D2AF8" w:rsidP="002E7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MEM18011 Shut down and isolate machines/equipment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46429" w:rsidP="002E7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022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148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12A"/>
  </w:style>
  <w:style w:type="character" w:customStyle="1" w:styleId="Heading1Char">
    <w:name w:val="Heading 1 Char"/>
    <w:basedOn w:val="DefaultParagraphFont"/>
    <w:link w:val="Heading1"/>
    <w:rsid w:val="002E7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1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1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12A"/>
    <w:rPr>
      <w:b/>
      <w:spacing w:val="0"/>
    </w:rPr>
  </w:style>
  <w:style w:type="paragraph" w:customStyle="1" w:styleId="SuperHeading">
    <w:name w:val="SuperHeading"/>
    <w:basedOn w:val="Normal"/>
    <w:rsid w:val="002E7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1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1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1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12A"/>
    <w:rPr>
      <w:i/>
    </w:rPr>
  </w:style>
  <w:style w:type="paragraph" w:styleId="Caption">
    <w:name w:val="caption"/>
    <w:basedOn w:val="BodyText"/>
    <w:next w:val="Normal"/>
    <w:qFormat/>
    <w:rsid w:val="002E7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12A"/>
  </w:style>
  <w:style w:type="paragraph" w:styleId="TableofFigures">
    <w:name w:val="table of figures"/>
    <w:basedOn w:val="Normal"/>
    <w:next w:val="Normal"/>
    <w:semiHidden/>
    <w:rsid w:val="002E7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1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712A"/>
    <w:rPr>
      <w:rFonts w:ascii="Wingdings" w:hAnsi="Wingdings"/>
    </w:rPr>
  </w:style>
  <w:style w:type="paragraph" w:customStyle="1" w:styleId="TableHeading">
    <w:name w:val="Table Heading"/>
    <w:basedOn w:val="HeadingBase"/>
    <w:rsid w:val="002E7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12A"/>
    <w:rPr>
      <w:color w:val="0033CC"/>
      <w:u w:val="none"/>
    </w:rPr>
  </w:style>
  <w:style w:type="paragraph" w:customStyle="1" w:styleId="BodyTextRight">
    <w:name w:val="Body Text Right"/>
    <w:basedOn w:val="BodyText"/>
    <w:rsid w:val="002E7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1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12A"/>
    <w:rPr>
      <w:sz w:val="32"/>
    </w:rPr>
  </w:style>
  <w:style w:type="paragraph" w:customStyle="1" w:styleId="HeadingProcedure">
    <w:name w:val="Heading Procedure"/>
    <w:basedOn w:val="HeadingBase"/>
    <w:next w:val="Normal"/>
    <w:rsid w:val="002E7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12A"/>
    <w:pPr>
      <w:spacing w:before="60" w:after="60"/>
    </w:pPr>
  </w:style>
  <w:style w:type="paragraph" w:styleId="ListContinue">
    <w:name w:val="List Continue"/>
    <w:basedOn w:val="List"/>
    <w:rsid w:val="002E712A"/>
    <w:pPr>
      <w:ind w:firstLine="0"/>
    </w:pPr>
  </w:style>
  <w:style w:type="paragraph" w:customStyle="1" w:styleId="ListNote">
    <w:name w:val="List Note"/>
    <w:basedOn w:val="List"/>
    <w:rsid w:val="002E7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12A"/>
    <w:rPr>
      <w:rFonts w:ascii="Courier New" w:hAnsi="Courier New"/>
    </w:rPr>
  </w:style>
  <w:style w:type="paragraph" w:customStyle="1" w:styleId="NoteBullet">
    <w:name w:val="Note Bullet"/>
    <w:basedOn w:val="Note"/>
    <w:rsid w:val="002E7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1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7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12A"/>
    <w:rPr>
      <w:b/>
      <w:smallCaps/>
    </w:rPr>
  </w:style>
  <w:style w:type="paragraph" w:customStyle="1" w:styleId="TableListNumber">
    <w:name w:val="Table List Number"/>
    <w:basedOn w:val="ListNumber"/>
    <w:rsid w:val="002E7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12A"/>
    <w:pPr>
      <w:numPr>
        <w:numId w:val="8"/>
      </w:numPr>
    </w:pPr>
  </w:style>
  <w:style w:type="paragraph" w:customStyle="1" w:styleId="ListAlpha2">
    <w:name w:val="List Alpha 2"/>
    <w:basedOn w:val="List2"/>
    <w:rsid w:val="002E712A"/>
    <w:pPr>
      <w:numPr>
        <w:numId w:val="7"/>
      </w:numPr>
    </w:pPr>
  </w:style>
  <w:style w:type="paragraph" w:styleId="List2">
    <w:name w:val="List 2"/>
    <w:basedOn w:val="BodyText"/>
    <w:rsid w:val="002E7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1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1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712A"/>
    <w:pPr>
      <w:numPr>
        <w:numId w:val="3"/>
      </w:numPr>
    </w:pPr>
  </w:style>
  <w:style w:type="paragraph" w:styleId="ListContinue2">
    <w:name w:val="List Continue 2"/>
    <w:basedOn w:val="List2"/>
    <w:rsid w:val="002E712A"/>
    <w:pPr>
      <w:ind w:firstLine="0"/>
    </w:pPr>
  </w:style>
  <w:style w:type="paragraph" w:styleId="ListContinue3">
    <w:name w:val="List Continue 3"/>
    <w:basedOn w:val="List3"/>
    <w:rsid w:val="002E712A"/>
    <w:pPr>
      <w:ind w:left="1021" w:firstLine="0"/>
    </w:pPr>
  </w:style>
  <w:style w:type="paragraph" w:styleId="ListContinue4">
    <w:name w:val="List Continue 4"/>
    <w:basedOn w:val="List4"/>
    <w:rsid w:val="002E712A"/>
    <w:pPr>
      <w:ind w:firstLine="0"/>
    </w:pPr>
  </w:style>
  <w:style w:type="paragraph" w:styleId="ListContinue5">
    <w:name w:val="List Continue 5"/>
    <w:basedOn w:val="List5"/>
    <w:rsid w:val="002E712A"/>
    <w:pPr>
      <w:ind w:firstLine="0"/>
    </w:pPr>
  </w:style>
  <w:style w:type="paragraph" w:styleId="ListNumber3">
    <w:name w:val="List Number 3"/>
    <w:basedOn w:val="List3"/>
    <w:rsid w:val="002E712A"/>
    <w:pPr>
      <w:numPr>
        <w:numId w:val="4"/>
      </w:numPr>
    </w:pPr>
  </w:style>
  <w:style w:type="paragraph" w:styleId="ListNumber4">
    <w:name w:val="List Number 4"/>
    <w:basedOn w:val="List4"/>
    <w:rsid w:val="002E712A"/>
    <w:pPr>
      <w:numPr>
        <w:numId w:val="5"/>
      </w:numPr>
    </w:pPr>
  </w:style>
  <w:style w:type="paragraph" w:styleId="ListNumber5">
    <w:name w:val="List Number 5"/>
    <w:basedOn w:val="List5"/>
    <w:rsid w:val="002E712A"/>
    <w:pPr>
      <w:numPr>
        <w:numId w:val="6"/>
      </w:numPr>
    </w:pPr>
  </w:style>
  <w:style w:type="paragraph" w:styleId="BlockText">
    <w:name w:val="Block Text"/>
    <w:basedOn w:val="Normal"/>
    <w:rsid w:val="002E7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12A"/>
    <w:rPr>
      <w:sz w:val="16"/>
      <w:vertAlign w:val="superscript"/>
    </w:rPr>
  </w:style>
  <w:style w:type="character" w:customStyle="1" w:styleId="Symbols">
    <w:name w:val="Symbols"/>
    <w:basedOn w:val="DefaultParagraphFont"/>
    <w:rsid w:val="002E712A"/>
    <w:rPr>
      <w:rFonts w:ascii="Symbol" w:hAnsi="Symbol"/>
    </w:rPr>
  </w:style>
  <w:style w:type="character" w:customStyle="1" w:styleId="MenuOptions">
    <w:name w:val="Menu Options"/>
    <w:basedOn w:val="DefaultParagraphFont"/>
    <w:rsid w:val="002E7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12A"/>
    <w:rPr>
      <w:b/>
    </w:rPr>
  </w:style>
  <w:style w:type="character" w:customStyle="1" w:styleId="Underlined">
    <w:name w:val="Underlined"/>
    <w:basedOn w:val="DefaultParagraphFont"/>
    <w:rsid w:val="002E712A"/>
    <w:rPr>
      <w:u w:val="single"/>
    </w:rPr>
  </w:style>
  <w:style w:type="paragraph" w:customStyle="1" w:styleId="TableBodyTextRight">
    <w:name w:val="Table Body Text Right"/>
    <w:basedOn w:val="TableBodyText"/>
    <w:rsid w:val="002E7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12A"/>
    <w:rPr>
      <w:sz w:val="18"/>
    </w:rPr>
  </w:style>
  <w:style w:type="paragraph" w:customStyle="1" w:styleId="BodySmallRight">
    <w:name w:val="Body Small Right"/>
    <w:basedOn w:val="BodyTextRight"/>
    <w:rsid w:val="002E712A"/>
    <w:rPr>
      <w:sz w:val="18"/>
      <w:szCs w:val="18"/>
    </w:rPr>
  </w:style>
  <w:style w:type="paragraph" w:customStyle="1" w:styleId="MarginEdition">
    <w:name w:val="Margin Edition"/>
    <w:basedOn w:val="MarginNote"/>
    <w:rsid w:val="002E7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12A"/>
    <w:rPr>
      <w:sz w:val="2"/>
      <w:szCs w:val="2"/>
    </w:rPr>
  </w:style>
  <w:style w:type="character" w:customStyle="1" w:styleId="Small">
    <w:name w:val="Small"/>
    <w:basedOn w:val="DefaultParagraphFont"/>
    <w:rsid w:val="002E712A"/>
    <w:rPr>
      <w:sz w:val="16"/>
    </w:rPr>
  </w:style>
  <w:style w:type="paragraph" w:customStyle="1" w:styleId="WideTable">
    <w:name w:val="Wide Table"/>
    <w:basedOn w:val="Normal"/>
    <w:rsid w:val="002E7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12A"/>
  </w:style>
  <w:style w:type="paragraph" w:styleId="Quote">
    <w:name w:val="Quote"/>
    <w:basedOn w:val="Heading1"/>
    <w:link w:val="QuoteChar"/>
    <w:qFormat/>
    <w:rsid w:val="002E7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12A"/>
    <w:pPr>
      <w:pageBreakBefore/>
    </w:pPr>
  </w:style>
  <w:style w:type="paragraph" w:customStyle="1" w:styleId="Border">
    <w:name w:val="Border"/>
    <w:basedOn w:val="Normal"/>
    <w:qFormat/>
    <w:rsid w:val="002E7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12A"/>
    <w:rPr>
      <w:u w:val="single"/>
    </w:rPr>
  </w:style>
  <w:style w:type="character" w:customStyle="1" w:styleId="BoldandItalics">
    <w:name w:val="Bold and Italics"/>
    <w:qFormat/>
    <w:rsid w:val="002E712A"/>
    <w:rPr>
      <w:b/>
      <w:i/>
      <w:u w:val="none"/>
    </w:rPr>
  </w:style>
  <w:style w:type="paragraph" w:styleId="BalloonText">
    <w:name w:val="Balloon Text"/>
    <w:basedOn w:val="Normal"/>
    <w:link w:val="BalloonTextChar"/>
    <w:rsid w:val="002E7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12A"/>
    <w:pPr>
      <w:spacing w:before="0" w:after="0"/>
    </w:pPr>
  </w:style>
  <w:style w:type="paragraph" w:customStyle="1" w:styleId="BodyTextBold">
    <w:name w:val="Body Text Bold"/>
    <w:basedOn w:val="BodyText"/>
    <w:qFormat/>
    <w:rsid w:val="002E712A"/>
    <w:rPr>
      <w:b/>
    </w:rPr>
  </w:style>
  <w:style w:type="character" w:styleId="Hyperlink">
    <w:name w:val="Hyperlink"/>
    <w:basedOn w:val="DefaultParagraphFont"/>
    <w:uiPriority w:val="99"/>
    <w:unhideWhenUsed/>
    <w:rsid w:val="00346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3677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MEM18011 Shut down and isolate machines/equipment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