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8F8" w:rsidP="005A48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MEM18011 Shut down and isolate machines/equipment</w:t>
      </w:r>
      <w:r>
        <w:fldChar w:fldCharType="end"/>
      </w:r>
    </w:p>
    <w:p w:rsidR="005A48F8" w:rsidP="005A48F8">
      <w:pPr>
        <w:pStyle w:val="Version"/>
        <w:sectPr w:rsidSect="00227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2E2" w:rsidP="002272E2">
      <w:pPr>
        <w:pStyle w:val="SuperHeading"/>
      </w:pPr>
      <w:r w:rsidRPr="002272E2">
        <w:t>Assessment Requirements for MEM18011 Shut down and isolate machines/equipment</w:t>
      </w:r>
    </w:p>
    <w:p w:rsidR="00000000" w:rsidRPr="002272E2" w:rsidP="002272E2">
      <w:pPr>
        <w:pStyle w:val="Heading1"/>
      </w:pPr>
      <w:bookmarkStart w:id="1" w:name="O_940948"/>
      <w:bookmarkEnd w:id="1"/>
      <w:r w:rsidRPr="002272E2">
        <w:t>Modification History</w:t>
      </w:r>
    </w:p>
    <w:p w:rsidR="00000000" w:rsidRPr="002272E2" w:rsidP="005A48F8">
      <w:pPr>
        <w:pStyle w:val="BodyText"/>
      </w:pPr>
      <w:r w:rsidRPr="002272E2">
        <w:t xml:space="preserve">Release 1. Supersedes and is equivalent to MEM18011C Shut down and isolate machines/equipment </w:t>
      </w:r>
    </w:p>
    <w:p w:rsidR="00000000" w:rsidRPr="002272E2" w:rsidP="002272E2">
      <w:pPr>
        <w:pStyle w:val="Heading1"/>
      </w:pPr>
      <w:bookmarkStart w:id="2" w:name="O_940951"/>
      <w:bookmarkEnd w:id="2"/>
      <w:r w:rsidRPr="002272E2">
        <w:t>Performance Evidence</w:t>
      </w:r>
    </w:p>
    <w:p w:rsidR="00000000" w:rsidRPr="002272E2" w:rsidP="005A48F8">
      <w:pPr>
        <w:pStyle w:val="BodyText"/>
      </w:pPr>
      <w:r w:rsidRPr="002272E2">
        <w:t>Evidence required to demonstrate competence in this unit must be relevant to and satisfy the requirements of the elements and performance criteria on at least two (2) occasions and include:</w:t>
      </w:r>
    </w:p>
    <w:p w:rsidR="00000000" w:rsidRPr="002272E2" w:rsidP="002272E2">
      <w:pPr>
        <w:pStyle w:val="ListBullet"/>
      </w:pPr>
      <w:r w:rsidRPr="002272E2">
        <w:t>following work instructions, standard operating procedures (SOPs)</w:t>
      </w:r>
      <w:r w:rsidRPr="002272E2">
        <w:t xml:space="preserve"> and safe work practices </w:t>
      </w:r>
    </w:p>
    <w:p w:rsidR="00000000" w:rsidRPr="002272E2" w:rsidP="002272E2">
      <w:pPr>
        <w:pStyle w:val="ListBullet"/>
      </w:pPr>
      <w:r w:rsidRPr="002272E2">
        <w:t>identifying and interpreting specifications, charts, lists and other applicable reference documents to shut down and isolate machines and equipment</w:t>
      </w:r>
    </w:p>
    <w:p w:rsidR="00000000" w:rsidRPr="002272E2" w:rsidP="002272E2">
      <w:pPr>
        <w:pStyle w:val="ListBullet"/>
      </w:pPr>
      <w:r w:rsidRPr="002272E2">
        <w:t>shutting down machines/equipment ensuring machine/equipment is depressurised/empti</w:t>
      </w:r>
      <w:r w:rsidRPr="002272E2">
        <w:t xml:space="preserve">ed/de-energised/bled according to procedures </w:t>
      </w:r>
    </w:p>
    <w:p w:rsidR="00000000" w:rsidRPr="002272E2" w:rsidP="002272E2">
      <w:pPr>
        <w:pStyle w:val="ListBullet"/>
      </w:pPr>
      <w:r w:rsidRPr="002272E2">
        <w:t>isolating machines/equipment safely in accordance with SOPs, relevant regulations, Australian Standards and legislative requirements governing isolation and shutdown and verifying safe isolation</w:t>
      </w:r>
    </w:p>
    <w:p w:rsidR="00000000" w:rsidRPr="002272E2" w:rsidP="002272E2">
      <w:pPr>
        <w:pStyle w:val="ListBullet"/>
      </w:pPr>
      <w:r w:rsidRPr="002272E2">
        <w:t>installing safe</w:t>
      </w:r>
      <w:r w:rsidRPr="002272E2">
        <w:t>ty/security lock-off devices and signage.</w:t>
      </w:r>
    </w:p>
    <w:p w:rsidR="00000000" w:rsidRPr="002272E2" w:rsidP="002272E2">
      <w:pPr>
        <w:pStyle w:val="AllowPageBreak"/>
      </w:pPr>
    </w:p>
    <w:p w:rsidR="00000000" w:rsidRPr="002272E2" w:rsidP="002272E2">
      <w:pPr>
        <w:pStyle w:val="Heading1"/>
      </w:pPr>
      <w:bookmarkStart w:id="3" w:name="O_940950"/>
      <w:bookmarkEnd w:id="3"/>
      <w:r w:rsidRPr="002272E2">
        <w:t>Knowledge Evidence</w:t>
      </w:r>
    </w:p>
    <w:p w:rsidR="00000000" w:rsidRPr="002272E2" w:rsidP="005A48F8">
      <w:pPr>
        <w:pStyle w:val="BodyText"/>
      </w:pPr>
      <w:r w:rsidRPr="002272E2">
        <w:t>Evidence required to demonstrate the required knowledge for this unit must be relevant to and satisfy the requirements of the elements and performance criteria and include knowle</w:t>
      </w:r>
      <w:r w:rsidRPr="002272E2">
        <w:t>dge of:</w:t>
      </w:r>
    </w:p>
    <w:p w:rsidR="00000000" w:rsidRPr="002272E2" w:rsidP="002272E2">
      <w:pPr>
        <w:pStyle w:val="ListBullet"/>
      </w:pPr>
      <w:r w:rsidRPr="002272E2">
        <w:t>safe work practices and procedures and use of personal protective equipment (PPE)</w:t>
      </w:r>
    </w:p>
    <w:p w:rsidR="00000000" w:rsidRPr="002272E2" w:rsidP="002272E2">
      <w:pPr>
        <w:pStyle w:val="ListBullet"/>
      </w:pPr>
      <w:r w:rsidRPr="002272E2">
        <w:t>operational function of the machine/equipment</w:t>
      </w:r>
    </w:p>
    <w:p w:rsidR="00000000" w:rsidRPr="002272E2" w:rsidP="002272E2">
      <w:pPr>
        <w:pStyle w:val="ListBullet"/>
      </w:pPr>
      <w:r w:rsidRPr="002272E2">
        <w:t>shutdown sequence</w:t>
      </w:r>
    </w:p>
    <w:p w:rsidR="00000000" w:rsidRPr="002272E2" w:rsidP="002272E2">
      <w:pPr>
        <w:pStyle w:val="ListBullet"/>
      </w:pPr>
      <w:r w:rsidRPr="002272E2">
        <w:t>procedures and safety precautions for shutting down and isolating the machine/equipment</w:t>
      </w:r>
    </w:p>
    <w:p w:rsidR="00000000" w:rsidRPr="002272E2" w:rsidP="002272E2">
      <w:pPr>
        <w:pStyle w:val="ListBullet"/>
      </w:pPr>
      <w:r w:rsidRPr="002272E2">
        <w:t>procedures fo</w:t>
      </w:r>
      <w:r w:rsidRPr="002272E2">
        <w:t>r purging/de-energising the machine/equipment and reasons for doing so</w:t>
      </w:r>
    </w:p>
    <w:p w:rsidR="00000000" w:rsidRPr="002272E2" w:rsidP="002272E2">
      <w:pPr>
        <w:pStyle w:val="ListBullet"/>
      </w:pPr>
      <w:r w:rsidRPr="002272E2">
        <w:t>procedures for verifying machine/equipment shutdown and isolation and reasons for verifying</w:t>
      </w:r>
    </w:p>
    <w:p w:rsidR="00000000" w:rsidRPr="002272E2" w:rsidP="002272E2">
      <w:pPr>
        <w:pStyle w:val="ListBullet"/>
      </w:pPr>
      <w:r w:rsidRPr="002272E2">
        <w:t>relevant regulations, Australian Standards and legislative requirements governing isolation a</w:t>
      </w:r>
      <w:r w:rsidRPr="002272E2">
        <w:t>nd shutdown</w:t>
      </w:r>
    </w:p>
    <w:p w:rsidR="00000000" w:rsidRPr="002272E2" w:rsidP="002272E2">
      <w:pPr>
        <w:pStyle w:val="ListBullet"/>
      </w:pPr>
      <w:r w:rsidRPr="002272E2">
        <w:t>safety/security lock-off devices and signage to be installed</w:t>
      </w:r>
    </w:p>
    <w:p w:rsidR="00000000" w:rsidRPr="002272E2" w:rsidP="002272E2">
      <w:pPr>
        <w:pStyle w:val="ListBullet"/>
      </w:pPr>
      <w:r w:rsidRPr="002272E2">
        <w:t>reasons and procedures for installing lock-off devices and signage</w:t>
      </w:r>
    </w:p>
    <w:p w:rsidR="00000000" w:rsidRPr="002272E2" w:rsidP="002272E2">
      <w:pPr>
        <w:pStyle w:val="ListBullet"/>
      </w:pPr>
      <w:r w:rsidRPr="002272E2">
        <w:t>reasons for ensuring the machine/equipment is left in a clean safe state.</w:t>
      </w:r>
    </w:p>
    <w:p w:rsidR="00000000" w:rsidRPr="002272E2" w:rsidP="002272E2">
      <w:pPr>
        <w:pStyle w:val="AllowPageBreak"/>
      </w:pPr>
    </w:p>
    <w:p w:rsidR="00000000" w:rsidRPr="002272E2" w:rsidP="002272E2">
      <w:pPr>
        <w:pStyle w:val="Heading1"/>
      </w:pPr>
      <w:bookmarkStart w:id="4" w:name="O_940949"/>
      <w:bookmarkEnd w:id="4"/>
      <w:r w:rsidRPr="002272E2">
        <w:t>Assessment Conditions</w:t>
      </w:r>
    </w:p>
    <w:p w:rsidR="00000000" w:rsidRPr="002272E2" w:rsidP="002272E2">
      <w:pPr>
        <w:pStyle w:val="ListBullet"/>
      </w:pPr>
      <w:r w:rsidRPr="002272E2">
        <w:t>Assessors must:</w:t>
      </w:r>
    </w:p>
    <w:p w:rsidR="00000000" w:rsidRPr="002272E2" w:rsidP="002272E2">
      <w:pPr>
        <w:pStyle w:val="ListBullet2"/>
      </w:pPr>
      <w:r w:rsidRPr="002272E2">
        <w:t>have vocational competency in shutting down and isolating machines/equipment at least to the level being assessed with relevant industry knowledge and experience</w:t>
      </w:r>
    </w:p>
    <w:p w:rsidR="00000000" w:rsidRPr="002272E2" w:rsidP="002272E2">
      <w:pPr>
        <w:pStyle w:val="ListBullet2"/>
      </w:pPr>
      <w:r w:rsidRPr="002272E2">
        <w:t xml:space="preserve">satisfy the assessor requirements in the </w:t>
      </w:r>
      <w:r w:rsidRPr="002272E2">
        <w:rPr>
          <w:rStyle w:val="Emphasis"/>
        </w:rPr>
        <w:t>Standards for Registered Training Or</w:t>
      </w:r>
      <w:r w:rsidRPr="002272E2">
        <w:rPr>
          <w:rStyle w:val="Emphasis"/>
        </w:rPr>
        <w:t xml:space="preserve">ganisations 2015 </w:t>
      </w:r>
      <w:r w:rsidRPr="002272E2">
        <w:t>or its replacement</w:t>
      </w:r>
      <w:r w:rsidRPr="002272E2">
        <w:rPr>
          <w:rStyle w:val="Emphasis"/>
        </w:rPr>
        <w:t xml:space="preserve"> </w:t>
      </w:r>
      <w:r w:rsidRPr="002272E2">
        <w:t xml:space="preserve">and comply with the </w:t>
      </w:r>
      <w:r w:rsidRPr="002272E2">
        <w:rPr>
          <w:rStyle w:val="Emphasis"/>
        </w:rPr>
        <w:t xml:space="preserve">National Vocational Education and Training Regulator Act 2011, </w:t>
      </w:r>
      <w:r w:rsidRPr="002272E2">
        <w:t>its replacement</w:t>
      </w:r>
      <w:r w:rsidRPr="002272E2">
        <w:rPr>
          <w:rStyle w:val="Emphasis"/>
        </w:rPr>
        <w:t xml:space="preserve"> </w:t>
      </w:r>
      <w:r w:rsidRPr="002272E2">
        <w:t>or equivalent legislation covering VET regulation in a non-referring state/territory as the case requires</w:t>
      </w:r>
    </w:p>
    <w:p w:rsidR="00000000" w:rsidRPr="002272E2" w:rsidP="002272E2">
      <w:pPr>
        <w:pStyle w:val="ListBullet"/>
      </w:pPr>
      <w:r w:rsidRPr="002272E2">
        <w:t>Where possible</w:t>
      </w:r>
      <w:r w:rsidRPr="002272E2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2272E2">
        <w:t>rational workplace conditions. This must cover all aspects of workplace performance, including environment, task skills, task management skills, contingency management skills and job role environment skills</w:t>
      </w:r>
    </w:p>
    <w:p w:rsidR="00000000" w:rsidRPr="002272E2" w:rsidP="002272E2">
      <w:pPr>
        <w:pStyle w:val="ListBullet"/>
      </w:pPr>
      <w:r w:rsidRPr="002272E2">
        <w:t xml:space="preserve">Conditions for assessment must include access to </w:t>
      </w:r>
      <w:r w:rsidRPr="002272E2">
        <w:t>all tools, equipment, materials and documentation required, including relevant workplace procedures, product and manufacturing specifications</w:t>
      </w:r>
    </w:p>
    <w:p w:rsidR="00000000" w:rsidRPr="002272E2" w:rsidP="002272E2">
      <w:pPr>
        <w:pStyle w:val="ListBullet"/>
      </w:pPr>
      <w:r w:rsidRPr="002272E2">
        <w:t>Assessment processes and techniques must be appropriate to the language, literacy and numeracy requirements of the</w:t>
      </w:r>
      <w:r w:rsidRPr="002272E2">
        <w:t xml:space="preserve"> work being performed and the needs of the candidate.</w:t>
      </w:r>
    </w:p>
    <w:p w:rsidR="00000000" w:rsidRPr="002272E2" w:rsidP="002272E2">
      <w:pPr>
        <w:pStyle w:val="AllowPageBreak"/>
      </w:pPr>
    </w:p>
    <w:p w:rsidR="00000000" w:rsidRPr="002272E2" w:rsidP="002272E2">
      <w:pPr>
        <w:pStyle w:val="Heading1"/>
      </w:pPr>
      <w:bookmarkStart w:id="5" w:name="O_940947"/>
      <w:bookmarkEnd w:id="5"/>
      <w:r w:rsidRPr="002272E2">
        <w:t>Links</w:t>
      </w:r>
    </w:p>
    <w:p w:rsidR="00000000" w:rsidRPr="002272E2" w:rsidP="005A48F8">
      <w:pPr>
        <w:pStyle w:val="BodyText"/>
      </w:pPr>
      <w:r w:rsidRPr="00227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343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72E2" w:rsidP="002272E2"/>
    <w:sectPr w:rsidSect="00227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E2" w:rsidRPr="005A48F8" w:rsidP="005A48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F8" w:rsidP="00227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8F8" w:rsidP="00227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A48F8" w:rsidP="00227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2E2" w:rsidRPr="005A48F8" w:rsidP="005A48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8F8" w:rsidRPr="002D2AF8" w:rsidP="00227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MEM18011 Shut down and isolate machines/equipment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A48F8" w:rsidP="00227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BE0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AB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ECD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2E2"/>
  </w:style>
  <w:style w:type="character" w:customStyle="1" w:styleId="Heading1Char">
    <w:name w:val="Heading 1 Char"/>
    <w:basedOn w:val="DefaultParagraphFont"/>
    <w:link w:val="Heading1"/>
    <w:rsid w:val="00227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2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72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72E2"/>
    <w:rPr>
      <w:i/>
    </w:rPr>
  </w:style>
  <w:style w:type="paragraph" w:customStyle="1" w:styleId="SuperHeading">
    <w:name w:val="SuperHeading"/>
    <w:basedOn w:val="Normal"/>
    <w:rsid w:val="00227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72E2"/>
    <w:rPr>
      <w:b/>
      <w:spacing w:val="0"/>
    </w:rPr>
  </w:style>
  <w:style w:type="paragraph" w:customStyle="1" w:styleId="SuperTitle">
    <w:name w:val="SuperTitle"/>
    <w:basedOn w:val="Title"/>
    <w:rsid w:val="00227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7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2E2"/>
  </w:style>
  <w:style w:type="paragraph" w:styleId="TableofFigures">
    <w:name w:val="table of figures"/>
    <w:basedOn w:val="Normal"/>
    <w:next w:val="Normal"/>
    <w:semiHidden/>
    <w:rsid w:val="00227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2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72E2"/>
    <w:rPr>
      <w:rFonts w:ascii="Wingdings" w:hAnsi="Wingdings"/>
    </w:rPr>
  </w:style>
  <w:style w:type="paragraph" w:customStyle="1" w:styleId="TableHeading">
    <w:name w:val="Table Heading"/>
    <w:basedOn w:val="HeadingBase"/>
    <w:rsid w:val="00227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2E2"/>
    <w:rPr>
      <w:color w:val="0033CC"/>
      <w:u w:val="none"/>
    </w:rPr>
  </w:style>
  <w:style w:type="paragraph" w:customStyle="1" w:styleId="BodyTextRight">
    <w:name w:val="Body Text Right"/>
    <w:basedOn w:val="BodyText"/>
    <w:rsid w:val="00227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2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2E2"/>
    <w:rPr>
      <w:sz w:val="32"/>
    </w:rPr>
  </w:style>
  <w:style w:type="paragraph" w:customStyle="1" w:styleId="HeadingProcedure">
    <w:name w:val="Heading Procedure"/>
    <w:basedOn w:val="HeadingBase"/>
    <w:next w:val="Normal"/>
    <w:rsid w:val="00227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2E2"/>
    <w:pPr>
      <w:spacing w:before="60" w:after="60"/>
    </w:pPr>
  </w:style>
  <w:style w:type="paragraph" w:styleId="ListContinue">
    <w:name w:val="List Continue"/>
    <w:basedOn w:val="List"/>
    <w:rsid w:val="002272E2"/>
    <w:pPr>
      <w:ind w:firstLine="0"/>
    </w:pPr>
  </w:style>
  <w:style w:type="paragraph" w:customStyle="1" w:styleId="ListNote">
    <w:name w:val="List Note"/>
    <w:basedOn w:val="List"/>
    <w:rsid w:val="00227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2E2"/>
    <w:rPr>
      <w:rFonts w:ascii="Courier New" w:hAnsi="Courier New"/>
    </w:rPr>
  </w:style>
  <w:style w:type="paragraph" w:customStyle="1" w:styleId="NoteBullet">
    <w:name w:val="Note Bullet"/>
    <w:basedOn w:val="Note"/>
    <w:rsid w:val="00227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2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7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2E2"/>
    <w:rPr>
      <w:b/>
      <w:smallCaps/>
    </w:rPr>
  </w:style>
  <w:style w:type="paragraph" w:customStyle="1" w:styleId="TableListNumber">
    <w:name w:val="Table List Number"/>
    <w:basedOn w:val="ListNumber"/>
    <w:rsid w:val="00227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2E2"/>
    <w:pPr>
      <w:numPr>
        <w:numId w:val="9"/>
      </w:numPr>
    </w:pPr>
  </w:style>
  <w:style w:type="paragraph" w:customStyle="1" w:styleId="ListAlpha2">
    <w:name w:val="List Alpha 2"/>
    <w:basedOn w:val="List2"/>
    <w:rsid w:val="002272E2"/>
    <w:pPr>
      <w:numPr>
        <w:numId w:val="8"/>
      </w:numPr>
    </w:pPr>
  </w:style>
  <w:style w:type="paragraph" w:styleId="List2">
    <w:name w:val="List 2"/>
    <w:basedOn w:val="BodyText"/>
    <w:rsid w:val="00227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2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2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2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72E2"/>
    <w:pPr>
      <w:numPr>
        <w:numId w:val="4"/>
      </w:numPr>
    </w:pPr>
  </w:style>
  <w:style w:type="paragraph" w:styleId="ListContinue2">
    <w:name w:val="List Continue 2"/>
    <w:basedOn w:val="List2"/>
    <w:rsid w:val="002272E2"/>
    <w:pPr>
      <w:ind w:firstLine="0"/>
    </w:pPr>
  </w:style>
  <w:style w:type="paragraph" w:styleId="ListContinue3">
    <w:name w:val="List Continue 3"/>
    <w:basedOn w:val="List3"/>
    <w:rsid w:val="002272E2"/>
    <w:pPr>
      <w:ind w:left="1021" w:firstLine="0"/>
    </w:pPr>
  </w:style>
  <w:style w:type="paragraph" w:styleId="ListContinue4">
    <w:name w:val="List Continue 4"/>
    <w:basedOn w:val="List4"/>
    <w:rsid w:val="002272E2"/>
    <w:pPr>
      <w:ind w:firstLine="0"/>
    </w:pPr>
  </w:style>
  <w:style w:type="paragraph" w:styleId="ListContinue5">
    <w:name w:val="List Continue 5"/>
    <w:basedOn w:val="List5"/>
    <w:rsid w:val="002272E2"/>
    <w:pPr>
      <w:ind w:firstLine="0"/>
    </w:pPr>
  </w:style>
  <w:style w:type="paragraph" w:styleId="ListNumber3">
    <w:name w:val="List Number 3"/>
    <w:basedOn w:val="List3"/>
    <w:rsid w:val="002272E2"/>
    <w:pPr>
      <w:numPr>
        <w:numId w:val="5"/>
      </w:numPr>
    </w:pPr>
  </w:style>
  <w:style w:type="paragraph" w:styleId="ListNumber4">
    <w:name w:val="List Number 4"/>
    <w:basedOn w:val="List4"/>
    <w:rsid w:val="002272E2"/>
    <w:pPr>
      <w:numPr>
        <w:numId w:val="6"/>
      </w:numPr>
    </w:pPr>
  </w:style>
  <w:style w:type="paragraph" w:styleId="ListNumber5">
    <w:name w:val="List Number 5"/>
    <w:basedOn w:val="List5"/>
    <w:rsid w:val="002272E2"/>
    <w:pPr>
      <w:numPr>
        <w:numId w:val="7"/>
      </w:numPr>
    </w:pPr>
  </w:style>
  <w:style w:type="paragraph" w:styleId="BlockText">
    <w:name w:val="Block Text"/>
    <w:basedOn w:val="Normal"/>
    <w:rsid w:val="00227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2E2"/>
    <w:rPr>
      <w:sz w:val="16"/>
      <w:vertAlign w:val="superscript"/>
    </w:rPr>
  </w:style>
  <w:style w:type="character" w:customStyle="1" w:styleId="Symbols">
    <w:name w:val="Symbols"/>
    <w:basedOn w:val="DefaultParagraphFont"/>
    <w:rsid w:val="002272E2"/>
    <w:rPr>
      <w:rFonts w:ascii="Symbol" w:hAnsi="Symbol"/>
    </w:rPr>
  </w:style>
  <w:style w:type="character" w:customStyle="1" w:styleId="MenuOptions">
    <w:name w:val="Menu Options"/>
    <w:basedOn w:val="DefaultParagraphFont"/>
    <w:rsid w:val="00227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2E2"/>
    <w:rPr>
      <w:b/>
    </w:rPr>
  </w:style>
  <w:style w:type="character" w:customStyle="1" w:styleId="Underlined">
    <w:name w:val="Underlined"/>
    <w:basedOn w:val="DefaultParagraphFont"/>
    <w:rsid w:val="002272E2"/>
    <w:rPr>
      <w:u w:val="single"/>
    </w:rPr>
  </w:style>
  <w:style w:type="paragraph" w:customStyle="1" w:styleId="TableBodyTextRight">
    <w:name w:val="Table Body Text Right"/>
    <w:basedOn w:val="TableBodyText"/>
    <w:rsid w:val="00227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2E2"/>
    <w:rPr>
      <w:sz w:val="18"/>
    </w:rPr>
  </w:style>
  <w:style w:type="paragraph" w:customStyle="1" w:styleId="BodySmallRight">
    <w:name w:val="Body Small Right"/>
    <w:basedOn w:val="BodyTextRight"/>
    <w:rsid w:val="002272E2"/>
    <w:rPr>
      <w:sz w:val="18"/>
      <w:szCs w:val="18"/>
    </w:rPr>
  </w:style>
  <w:style w:type="paragraph" w:customStyle="1" w:styleId="MarginEdition">
    <w:name w:val="Margin Edition"/>
    <w:basedOn w:val="MarginNote"/>
    <w:rsid w:val="00227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2E2"/>
    <w:rPr>
      <w:sz w:val="2"/>
      <w:szCs w:val="2"/>
    </w:rPr>
  </w:style>
  <w:style w:type="character" w:customStyle="1" w:styleId="Small">
    <w:name w:val="Small"/>
    <w:basedOn w:val="DefaultParagraphFont"/>
    <w:rsid w:val="002272E2"/>
    <w:rPr>
      <w:sz w:val="16"/>
    </w:rPr>
  </w:style>
  <w:style w:type="paragraph" w:customStyle="1" w:styleId="WideTable">
    <w:name w:val="Wide Table"/>
    <w:basedOn w:val="Normal"/>
    <w:rsid w:val="00227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2E2"/>
  </w:style>
  <w:style w:type="paragraph" w:styleId="Quote">
    <w:name w:val="Quote"/>
    <w:basedOn w:val="Heading1"/>
    <w:link w:val="QuoteChar"/>
    <w:qFormat/>
    <w:rsid w:val="00227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2E2"/>
    <w:pPr>
      <w:pageBreakBefore/>
    </w:pPr>
  </w:style>
  <w:style w:type="paragraph" w:customStyle="1" w:styleId="Border">
    <w:name w:val="Border"/>
    <w:basedOn w:val="Normal"/>
    <w:qFormat/>
    <w:rsid w:val="00227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2E2"/>
    <w:rPr>
      <w:u w:val="single"/>
    </w:rPr>
  </w:style>
  <w:style w:type="character" w:customStyle="1" w:styleId="BoldandItalics">
    <w:name w:val="Bold and Italics"/>
    <w:qFormat/>
    <w:rsid w:val="002272E2"/>
    <w:rPr>
      <w:b/>
      <w:i/>
      <w:u w:val="none"/>
    </w:rPr>
  </w:style>
  <w:style w:type="paragraph" w:styleId="BalloonText">
    <w:name w:val="Balloon Text"/>
    <w:basedOn w:val="Normal"/>
    <w:link w:val="BalloonTextChar"/>
    <w:rsid w:val="00227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2E2"/>
    <w:pPr>
      <w:spacing w:before="0" w:after="0"/>
    </w:pPr>
  </w:style>
  <w:style w:type="paragraph" w:customStyle="1" w:styleId="BodyTextBold">
    <w:name w:val="Body Text Bold"/>
    <w:basedOn w:val="BodyText"/>
    <w:qFormat/>
    <w:rsid w:val="002272E2"/>
    <w:rPr>
      <w:b/>
    </w:rPr>
  </w:style>
  <w:style w:type="character" w:styleId="Hyperlink">
    <w:name w:val="Hyperlink"/>
    <w:basedOn w:val="DefaultParagraphFont"/>
    <w:uiPriority w:val="99"/>
    <w:unhideWhenUsed/>
    <w:rsid w:val="005A48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3251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MEM18011 Shut down and isolate machines/equipment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