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67E" w:rsidP="00797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MEM18008 Balance equipment</w:t>
      </w:r>
      <w:r>
        <w:fldChar w:fldCharType="end"/>
      </w:r>
    </w:p>
    <w:p w:rsidR="0079767E" w:rsidP="0079767E">
      <w:pPr>
        <w:pStyle w:val="Version"/>
        <w:sectPr w:rsidSect="002F58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5890" w:rsidP="002F5890">
      <w:pPr>
        <w:pStyle w:val="SuperHeading"/>
      </w:pPr>
      <w:r w:rsidRPr="002F5890">
        <w:t>Assessment Requirements for MEM18008 Balance equipment</w:t>
      </w:r>
    </w:p>
    <w:p w:rsidR="00000000" w:rsidRPr="002F5890" w:rsidP="002F5890">
      <w:pPr>
        <w:pStyle w:val="Heading1"/>
      </w:pPr>
      <w:bookmarkStart w:id="1" w:name="O_1169937"/>
      <w:bookmarkEnd w:id="1"/>
      <w:r w:rsidRPr="002F5890">
        <w:t>Modification History</w:t>
      </w:r>
    </w:p>
    <w:p w:rsidR="00000000" w:rsidRPr="002F5890" w:rsidP="0079767E">
      <w:pPr>
        <w:pStyle w:val="BodyText"/>
      </w:pPr>
      <w:r w:rsidRPr="002F5890">
        <w:t>Release 2. Quantum of hours of workplace practice removed. Supersedes and is equivalent to MEM18008 Balance equipment (Release 1).</w:t>
      </w:r>
    </w:p>
    <w:p w:rsidR="00000000" w:rsidRPr="002F5890" w:rsidP="0079767E">
      <w:pPr>
        <w:pStyle w:val="BodyText"/>
      </w:pPr>
      <w:r w:rsidRPr="002F5890">
        <w:t>Release 1. Supersedes and is equivalent to MEM18008B Balance equipment.</w:t>
      </w:r>
    </w:p>
    <w:p w:rsidR="00000000" w:rsidRPr="002F5890" w:rsidP="002F5890">
      <w:pPr>
        <w:pStyle w:val="Heading1"/>
      </w:pPr>
      <w:bookmarkStart w:id="2" w:name="O_1169936"/>
      <w:bookmarkEnd w:id="2"/>
      <w:r w:rsidRPr="002F5890">
        <w:t>Performance Evidence</w:t>
      </w:r>
    </w:p>
    <w:p w:rsidR="00000000" w:rsidRPr="002F5890" w:rsidP="0079767E">
      <w:pPr>
        <w:pStyle w:val="BodyText"/>
      </w:pPr>
      <w:r w:rsidRPr="002F5890">
        <w:t>Evidence required to demonstrate competence in this unit must be relevant to and satisfy the requirements of the elements and performance criteria on at least two (2) occasions and include:</w:t>
      </w:r>
    </w:p>
    <w:p w:rsidR="00000000" w:rsidRPr="002F5890" w:rsidP="002F5890">
      <w:pPr>
        <w:pStyle w:val="ListBullet"/>
      </w:pPr>
      <w:r w:rsidRPr="002F5890">
        <w:t>following work instructions, standard o</w:t>
      </w:r>
      <w:r w:rsidRPr="002F5890">
        <w:t xml:space="preserve">perating procedures (SOPs) and safe work practices </w:t>
      </w:r>
    </w:p>
    <w:p w:rsidR="00000000" w:rsidRPr="002F5890" w:rsidP="002F5890">
      <w:pPr>
        <w:pStyle w:val="ListBullet"/>
      </w:pPr>
      <w:r w:rsidRPr="002F5890">
        <w:t>identifying and interpreting specifications, charts, lists and drawings to balance equipment</w:t>
      </w:r>
    </w:p>
    <w:p w:rsidR="00000000" w:rsidRPr="002F5890" w:rsidP="002F5890">
      <w:pPr>
        <w:pStyle w:val="ListBullet"/>
      </w:pPr>
      <w:r w:rsidRPr="002F5890">
        <w:t>setting up component to be balanced to site/manufacturer’s procedures and determining balance/out-of-balance an</w:t>
      </w:r>
      <w:r w:rsidRPr="002F5890">
        <w:t>d comparing to specifications</w:t>
      </w:r>
    </w:p>
    <w:p w:rsidR="00000000" w:rsidRPr="002F5890" w:rsidP="002F5890">
      <w:pPr>
        <w:pStyle w:val="ListBullet"/>
      </w:pPr>
      <w:r w:rsidRPr="002F5890">
        <w:t>operating balance equipment using appropriate techniques safely</w:t>
      </w:r>
    </w:p>
    <w:p w:rsidR="00000000" w:rsidRPr="002F5890" w:rsidP="002F5890">
      <w:pPr>
        <w:pStyle w:val="ListBullet"/>
      </w:pPr>
      <w:r w:rsidRPr="002F5890">
        <w:t>checking for compliance to specifications</w:t>
      </w:r>
    </w:p>
    <w:p w:rsidR="00000000" w:rsidRPr="002F5890" w:rsidP="002F5890">
      <w:pPr>
        <w:pStyle w:val="ListBullet"/>
      </w:pPr>
      <w:r w:rsidRPr="002F5890">
        <w:t>undertaking numerical operations, geometry, calculations and formulae for balancing equipment.</w:t>
      </w:r>
    </w:p>
    <w:p w:rsidR="00000000" w:rsidRPr="002F5890" w:rsidP="002F5890">
      <w:pPr>
        <w:pStyle w:val="AllowPageBreak"/>
      </w:pPr>
    </w:p>
    <w:p w:rsidR="00000000" w:rsidRPr="002F5890" w:rsidP="002F5890">
      <w:pPr>
        <w:pStyle w:val="Heading1"/>
      </w:pPr>
      <w:bookmarkStart w:id="3" w:name="O_1169935"/>
      <w:bookmarkEnd w:id="3"/>
      <w:r w:rsidRPr="002F5890">
        <w:t>Knowle</w:t>
      </w:r>
      <w:r w:rsidRPr="002F5890">
        <w:t>dge Evidence</w:t>
      </w:r>
    </w:p>
    <w:p w:rsidR="00000000" w:rsidRPr="002F5890" w:rsidP="0079767E">
      <w:pPr>
        <w:pStyle w:val="BodyText"/>
      </w:pPr>
      <w:r w:rsidRPr="002F5890">
        <w:t>Evidence required to demonstrate the required knowledge for this unit must be relevant to and satisfy the requirements of the elements and performance criteria and include knowledge of:</w:t>
      </w:r>
    </w:p>
    <w:p w:rsidR="00000000" w:rsidRPr="002F5890" w:rsidP="002F5890">
      <w:pPr>
        <w:pStyle w:val="ListBullet"/>
      </w:pPr>
      <w:r w:rsidRPr="002F5890">
        <w:t>safe work practices and procedures and use of personal p</w:t>
      </w:r>
      <w:r w:rsidRPr="002F5890">
        <w:t>rotective equipment (PPE)</w:t>
      </w:r>
    </w:p>
    <w:p w:rsidR="00000000" w:rsidRPr="002F5890" w:rsidP="002F5890">
      <w:pPr>
        <w:pStyle w:val="ListBullet"/>
      </w:pPr>
      <w:r w:rsidRPr="002F5890">
        <w:t xml:space="preserve">principles of balancing and reasons for testing equipment for balance </w:t>
      </w:r>
    </w:p>
    <w:p w:rsidR="00000000" w:rsidRPr="002F5890" w:rsidP="002F5890">
      <w:pPr>
        <w:pStyle w:val="ListBullet"/>
      </w:pPr>
      <w:r w:rsidRPr="002F5890">
        <w:t>effect of out of balance components on machine/equipment operation and life</w:t>
      </w:r>
    </w:p>
    <w:p w:rsidR="00000000" w:rsidRPr="002F5890" w:rsidP="002F5890">
      <w:pPr>
        <w:pStyle w:val="ListBullet"/>
      </w:pPr>
      <w:r w:rsidRPr="002F5890">
        <w:t xml:space="preserve">procedures for checking the balance of equipment </w:t>
      </w:r>
    </w:p>
    <w:p w:rsidR="00000000" w:rsidRPr="002F5890" w:rsidP="002F5890">
      <w:pPr>
        <w:pStyle w:val="ListBullet"/>
      </w:pPr>
      <w:r w:rsidRPr="002F5890">
        <w:t xml:space="preserve">most appropriate procedure to be </w:t>
      </w:r>
      <w:r w:rsidRPr="002F5890">
        <w:t>applied to selected balancing situations and reasons for selection</w:t>
      </w:r>
    </w:p>
    <w:p w:rsidR="00000000" w:rsidRPr="002F5890" w:rsidP="002F5890">
      <w:pPr>
        <w:pStyle w:val="ListBullet"/>
      </w:pPr>
      <w:r w:rsidRPr="002F5890">
        <w:t>procedures for:</w:t>
      </w:r>
    </w:p>
    <w:p w:rsidR="00000000" w:rsidRPr="002F5890" w:rsidP="002F5890">
      <w:pPr>
        <w:pStyle w:val="ListBullet2"/>
      </w:pPr>
      <w:r w:rsidRPr="002F5890">
        <w:t>setting up the component to be balanced</w:t>
      </w:r>
    </w:p>
    <w:p w:rsidR="00000000" w:rsidRPr="002F5890" w:rsidP="002F5890">
      <w:pPr>
        <w:pStyle w:val="ListBullet2"/>
      </w:pPr>
      <w:r w:rsidRPr="002F5890">
        <w:t>operating the balancing equipment</w:t>
      </w:r>
    </w:p>
    <w:p w:rsidR="00000000" w:rsidRPr="002F5890" w:rsidP="002F5890">
      <w:pPr>
        <w:pStyle w:val="ListBullet2"/>
      </w:pPr>
      <w:r w:rsidRPr="002F5890">
        <w:t>recording out-of-balance readings</w:t>
      </w:r>
    </w:p>
    <w:p w:rsidR="00000000" w:rsidRPr="002F5890" w:rsidP="002F5890">
      <w:pPr>
        <w:pStyle w:val="ListBullet2"/>
      </w:pPr>
      <w:r w:rsidRPr="002F5890">
        <w:t>balancing out-of-balance equipment</w:t>
      </w:r>
    </w:p>
    <w:p w:rsidR="00000000" w:rsidRPr="002F5890" w:rsidP="002F5890">
      <w:pPr>
        <w:pStyle w:val="ListBullet"/>
      </w:pPr>
      <w:r w:rsidRPr="002F5890">
        <w:t>specifications of the component to be balanced</w:t>
      </w:r>
    </w:p>
    <w:p w:rsidR="00000000" w:rsidRPr="002F5890" w:rsidP="002F5890">
      <w:pPr>
        <w:pStyle w:val="ListBullet"/>
      </w:pPr>
      <w:r w:rsidRPr="002F5890">
        <w:t xml:space="preserve">principles and methods of rigid and flexible rotation balancing </w:t>
      </w:r>
    </w:p>
    <w:p w:rsidR="00000000" w:rsidRPr="002F5890" w:rsidP="002F5890">
      <w:pPr>
        <w:pStyle w:val="ListBullet"/>
      </w:pPr>
      <w:r w:rsidRPr="002F5890">
        <w:t xml:space="preserve">techniques of single and multiple plane balancing </w:t>
      </w:r>
    </w:p>
    <w:p w:rsidR="00000000" w:rsidRPr="002F5890" w:rsidP="002F5890">
      <w:pPr>
        <w:pStyle w:val="ListBullet"/>
      </w:pPr>
      <w:r w:rsidRPr="002F5890">
        <w:t>appropriate balancing technique for given balancing situations and reasons for selection</w:t>
      </w:r>
    </w:p>
    <w:p w:rsidR="00000000" w:rsidRPr="002F5890" w:rsidP="002F5890">
      <w:pPr>
        <w:pStyle w:val="ListBullet"/>
      </w:pPr>
      <w:r w:rsidRPr="002F5890">
        <w:t>prec</w:t>
      </w:r>
      <w:r w:rsidRPr="002F5890">
        <w:t>autions to be taken when adding or removing material to achieve balance.</w:t>
      </w:r>
    </w:p>
    <w:p w:rsidR="00000000" w:rsidRPr="002F5890" w:rsidP="002F5890">
      <w:pPr>
        <w:pStyle w:val="AllowPageBreak"/>
      </w:pPr>
    </w:p>
    <w:p w:rsidR="00000000" w:rsidRPr="002F5890" w:rsidP="002F5890">
      <w:pPr>
        <w:pStyle w:val="Heading1"/>
      </w:pPr>
      <w:bookmarkStart w:id="4" w:name="O_1169934"/>
      <w:bookmarkEnd w:id="4"/>
      <w:r w:rsidRPr="002F5890">
        <w:t>Assessment Conditions</w:t>
      </w:r>
    </w:p>
    <w:p w:rsidR="00000000" w:rsidRPr="002F5890" w:rsidP="002F5890">
      <w:pPr>
        <w:pStyle w:val="ListBullet"/>
      </w:pPr>
      <w:r w:rsidRPr="002F5890">
        <w:t>Assessors must:</w:t>
      </w:r>
    </w:p>
    <w:p w:rsidR="00000000" w:rsidRPr="002F5890" w:rsidP="002F5890">
      <w:pPr>
        <w:pStyle w:val="ListBullet2"/>
      </w:pPr>
      <w:r w:rsidRPr="002F5890">
        <w:t xml:space="preserve">have vocational competency in balancing equipment at least to the level being assessed with relevant industry knowledge and </w:t>
      </w:r>
      <w:r w:rsidRPr="002F5890">
        <w:t>experience</w:t>
      </w:r>
    </w:p>
    <w:p w:rsidR="00000000" w:rsidRPr="002F5890" w:rsidP="002F5890">
      <w:pPr>
        <w:pStyle w:val="ListBullet2"/>
      </w:pPr>
      <w:r w:rsidRPr="002F5890">
        <w:t xml:space="preserve">satisfy the assessor requirements in the </w:t>
      </w:r>
      <w:r w:rsidRPr="002F5890">
        <w:rPr>
          <w:rStyle w:val="Emphasis"/>
        </w:rPr>
        <w:t xml:space="preserve">Standards for Registered Training Organisations 2015 </w:t>
      </w:r>
      <w:r w:rsidRPr="002F5890">
        <w:t>or its replacement</w:t>
      </w:r>
      <w:r w:rsidRPr="002F5890">
        <w:rPr>
          <w:rStyle w:val="Emphasis"/>
        </w:rPr>
        <w:t xml:space="preserve"> </w:t>
      </w:r>
      <w:r w:rsidRPr="002F5890">
        <w:t xml:space="preserve">and comply with the </w:t>
      </w:r>
      <w:r w:rsidRPr="002F5890">
        <w:rPr>
          <w:rStyle w:val="Emphasis"/>
        </w:rPr>
        <w:t xml:space="preserve">National Vocational Education and Training Regulator Act 2011, </w:t>
      </w:r>
      <w:r w:rsidRPr="002F5890">
        <w:t>its replacement</w:t>
      </w:r>
      <w:r w:rsidRPr="002F5890">
        <w:rPr>
          <w:rStyle w:val="Emphasis"/>
        </w:rPr>
        <w:t xml:space="preserve"> </w:t>
      </w:r>
      <w:r w:rsidRPr="002F5890">
        <w:t>or equivalent legislation coverin</w:t>
      </w:r>
      <w:r w:rsidRPr="002F5890">
        <w:t>g VET regulation in a non-referring state/territory as the case requires.</w:t>
      </w:r>
    </w:p>
    <w:p w:rsidR="00000000" w:rsidRPr="002F5890" w:rsidP="002F5890">
      <w:pPr>
        <w:pStyle w:val="ListBullet"/>
      </w:pPr>
      <w:r w:rsidRPr="002F5890">
        <w:t xml:space="preserve">Assessment must occur in a functioning workplace. Where assessment in the workplace would </w:t>
      </w:r>
      <w:r w:rsidRPr="002F5890">
        <w:t>be unsafe, impractical or threatens the environment, assessment must occur in a sufficiently rigorous simulated environment that reflects the circumstances that would be experienced in a functioning workplace. Assessment must cover all aspects of workplace</w:t>
      </w:r>
      <w:r w:rsidRPr="002F5890">
        <w:t xml:space="preserve"> performance, including task skills, task management skills, contingency management skills and job role environment skills.</w:t>
      </w:r>
    </w:p>
    <w:p w:rsidR="00000000" w:rsidRPr="002F5890" w:rsidP="002F5890">
      <w:pPr>
        <w:pStyle w:val="ListBullet"/>
      </w:pPr>
      <w:r w:rsidRPr="002F5890">
        <w:t>Conditions for assessment must include access to all tools, equipment, materials and documentation required, including relevant work</w:t>
      </w:r>
      <w:r w:rsidRPr="002F5890">
        <w:t>place procedures, product and manufacturing specifications.</w:t>
      </w:r>
    </w:p>
    <w:p w:rsidR="00000000" w:rsidRPr="002F5890" w:rsidP="002F5890">
      <w:pPr>
        <w:pStyle w:val="ListBullet"/>
      </w:pPr>
      <w:r w:rsidRPr="002F5890">
        <w:t>Assessment processes and techniques must be appropriate to the language, literacy and numeracy requirements of the work being performed and the needs of the candidate.</w:t>
      </w:r>
    </w:p>
    <w:p w:rsidR="00000000" w:rsidRPr="002F5890" w:rsidP="002F5890">
      <w:pPr>
        <w:pStyle w:val="AllowPageBreak"/>
      </w:pPr>
    </w:p>
    <w:p w:rsidR="00000000" w:rsidRPr="002F5890" w:rsidP="002F5890">
      <w:pPr>
        <w:pStyle w:val="Heading1"/>
      </w:pPr>
      <w:bookmarkStart w:id="5" w:name="O_1169948"/>
      <w:bookmarkEnd w:id="5"/>
      <w:r w:rsidRPr="002F5890">
        <w:t>Links</w:t>
      </w:r>
    </w:p>
    <w:p w:rsidR="00000000" w:rsidRPr="002F5890" w:rsidP="0079767E">
      <w:pPr>
        <w:pStyle w:val="BodyText"/>
      </w:pPr>
      <w:r w:rsidRPr="002F5890">
        <w:t>Com</w:t>
      </w:r>
      <w:r w:rsidRPr="002F5890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362C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5890" w:rsidP="002F5890"/>
    <w:sectPr w:rsidSect="002F58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90" w:rsidRPr="0079767E" w:rsidP="00797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67E" w:rsidP="002F58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767E" w:rsidP="002F58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767E" w:rsidP="002F58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890" w:rsidRPr="0079767E" w:rsidP="00797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8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67E" w:rsidRPr="002D2AF8" w:rsidP="002F58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MEM18008 Balance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767E" w:rsidP="002F58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03A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140F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F248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8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8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8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8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8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8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8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8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8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8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890"/>
  </w:style>
  <w:style w:type="character" w:customStyle="1" w:styleId="Heading1Char">
    <w:name w:val="Heading 1 Char"/>
    <w:basedOn w:val="DefaultParagraphFont"/>
    <w:link w:val="Heading1"/>
    <w:rsid w:val="002F58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8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8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8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8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5890"/>
    <w:rPr>
      <w:i/>
    </w:rPr>
  </w:style>
  <w:style w:type="paragraph" w:customStyle="1" w:styleId="SuperHeading">
    <w:name w:val="SuperHeading"/>
    <w:basedOn w:val="Normal"/>
    <w:rsid w:val="002F58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8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58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8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8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8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8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8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8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8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8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8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8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8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8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8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8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8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8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8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890"/>
    <w:rPr>
      <w:b/>
      <w:spacing w:val="0"/>
    </w:rPr>
  </w:style>
  <w:style w:type="paragraph" w:customStyle="1" w:styleId="SuperTitle">
    <w:name w:val="SuperTitle"/>
    <w:basedOn w:val="Title"/>
    <w:rsid w:val="002F58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8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8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8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8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8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8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8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8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8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8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8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58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8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8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890"/>
  </w:style>
  <w:style w:type="paragraph" w:styleId="TableofFigures">
    <w:name w:val="table of figures"/>
    <w:basedOn w:val="Normal"/>
    <w:next w:val="Normal"/>
    <w:semiHidden/>
    <w:rsid w:val="002F58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8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5890"/>
    <w:rPr>
      <w:rFonts w:ascii="Wingdings" w:hAnsi="Wingdings"/>
    </w:rPr>
  </w:style>
  <w:style w:type="paragraph" w:customStyle="1" w:styleId="TableHeading">
    <w:name w:val="Table Heading"/>
    <w:basedOn w:val="HeadingBase"/>
    <w:rsid w:val="002F58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890"/>
    <w:rPr>
      <w:color w:val="0033CC"/>
      <w:u w:val="none"/>
    </w:rPr>
  </w:style>
  <w:style w:type="paragraph" w:customStyle="1" w:styleId="BodyTextRight">
    <w:name w:val="Body Text Right"/>
    <w:basedOn w:val="BodyText"/>
    <w:rsid w:val="002F58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8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8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8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8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8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890"/>
    <w:rPr>
      <w:sz w:val="32"/>
    </w:rPr>
  </w:style>
  <w:style w:type="paragraph" w:customStyle="1" w:styleId="HeadingProcedure">
    <w:name w:val="Heading Procedure"/>
    <w:basedOn w:val="HeadingBase"/>
    <w:next w:val="Normal"/>
    <w:rsid w:val="002F58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890"/>
    <w:pPr>
      <w:spacing w:before="60" w:after="60"/>
    </w:pPr>
  </w:style>
  <w:style w:type="paragraph" w:styleId="ListContinue">
    <w:name w:val="List Continue"/>
    <w:basedOn w:val="List"/>
    <w:rsid w:val="002F5890"/>
    <w:pPr>
      <w:ind w:firstLine="0"/>
    </w:pPr>
  </w:style>
  <w:style w:type="paragraph" w:customStyle="1" w:styleId="ListNote">
    <w:name w:val="List Note"/>
    <w:basedOn w:val="List"/>
    <w:rsid w:val="002F58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8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8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890"/>
    <w:rPr>
      <w:rFonts w:ascii="Courier New" w:hAnsi="Courier New"/>
    </w:rPr>
  </w:style>
  <w:style w:type="paragraph" w:customStyle="1" w:styleId="NoteBullet">
    <w:name w:val="Note Bullet"/>
    <w:basedOn w:val="Note"/>
    <w:rsid w:val="002F58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8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8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8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8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58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8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890"/>
    <w:rPr>
      <w:b/>
      <w:smallCaps/>
    </w:rPr>
  </w:style>
  <w:style w:type="paragraph" w:customStyle="1" w:styleId="TableListNumber">
    <w:name w:val="Table List Number"/>
    <w:basedOn w:val="ListNumber"/>
    <w:rsid w:val="002F58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8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890"/>
    <w:pPr>
      <w:numPr>
        <w:numId w:val="9"/>
      </w:numPr>
    </w:pPr>
  </w:style>
  <w:style w:type="paragraph" w:customStyle="1" w:styleId="ListAlpha2">
    <w:name w:val="List Alpha 2"/>
    <w:basedOn w:val="List2"/>
    <w:rsid w:val="002F5890"/>
    <w:pPr>
      <w:numPr>
        <w:numId w:val="8"/>
      </w:numPr>
    </w:pPr>
  </w:style>
  <w:style w:type="paragraph" w:styleId="List2">
    <w:name w:val="List 2"/>
    <w:basedOn w:val="BodyText"/>
    <w:rsid w:val="002F58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8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8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8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58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58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5890"/>
    <w:pPr>
      <w:numPr>
        <w:numId w:val="4"/>
      </w:numPr>
    </w:pPr>
  </w:style>
  <w:style w:type="paragraph" w:styleId="ListContinue2">
    <w:name w:val="List Continue 2"/>
    <w:basedOn w:val="List2"/>
    <w:rsid w:val="002F5890"/>
    <w:pPr>
      <w:ind w:firstLine="0"/>
    </w:pPr>
  </w:style>
  <w:style w:type="paragraph" w:styleId="ListContinue3">
    <w:name w:val="List Continue 3"/>
    <w:basedOn w:val="List3"/>
    <w:rsid w:val="002F5890"/>
    <w:pPr>
      <w:ind w:left="1021" w:firstLine="0"/>
    </w:pPr>
  </w:style>
  <w:style w:type="paragraph" w:styleId="ListContinue4">
    <w:name w:val="List Continue 4"/>
    <w:basedOn w:val="List4"/>
    <w:rsid w:val="002F5890"/>
    <w:pPr>
      <w:ind w:firstLine="0"/>
    </w:pPr>
  </w:style>
  <w:style w:type="paragraph" w:styleId="ListContinue5">
    <w:name w:val="List Continue 5"/>
    <w:basedOn w:val="List5"/>
    <w:rsid w:val="002F5890"/>
    <w:pPr>
      <w:ind w:firstLine="0"/>
    </w:pPr>
  </w:style>
  <w:style w:type="paragraph" w:styleId="ListNumber3">
    <w:name w:val="List Number 3"/>
    <w:basedOn w:val="List3"/>
    <w:rsid w:val="002F5890"/>
    <w:pPr>
      <w:numPr>
        <w:numId w:val="5"/>
      </w:numPr>
    </w:pPr>
  </w:style>
  <w:style w:type="paragraph" w:styleId="ListNumber4">
    <w:name w:val="List Number 4"/>
    <w:basedOn w:val="List4"/>
    <w:rsid w:val="002F5890"/>
    <w:pPr>
      <w:numPr>
        <w:numId w:val="6"/>
      </w:numPr>
    </w:pPr>
  </w:style>
  <w:style w:type="paragraph" w:styleId="ListNumber5">
    <w:name w:val="List Number 5"/>
    <w:basedOn w:val="List5"/>
    <w:rsid w:val="002F5890"/>
    <w:pPr>
      <w:numPr>
        <w:numId w:val="7"/>
      </w:numPr>
    </w:pPr>
  </w:style>
  <w:style w:type="paragraph" w:styleId="BlockText">
    <w:name w:val="Block Text"/>
    <w:basedOn w:val="Normal"/>
    <w:rsid w:val="002F58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8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890"/>
    <w:rPr>
      <w:sz w:val="16"/>
      <w:vertAlign w:val="superscript"/>
    </w:rPr>
  </w:style>
  <w:style w:type="character" w:customStyle="1" w:styleId="Symbols">
    <w:name w:val="Symbols"/>
    <w:basedOn w:val="DefaultParagraphFont"/>
    <w:rsid w:val="002F5890"/>
    <w:rPr>
      <w:rFonts w:ascii="Symbol" w:hAnsi="Symbol"/>
    </w:rPr>
  </w:style>
  <w:style w:type="character" w:customStyle="1" w:styleId="MenuOptions">
    <w:name w:val="Menu Options"/>
    <w:basedOn w:val="DefaultParagraphFont"/>
    <w:rsid w:val="002F58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890"/>
    <w:rPr>
      <w:b/>
    </w:rPr>
  </w:style>
  <w:style w:type="character" w:customStyle="1" w:styleId="Underlined">
    <w:name w:val="Underlined"/>
    <w:basedOn w:val="DefaultParagraphFont"/>
    <w:rsid w:val="002F5890"/>
    <w:rPr>
      <w:u w:val="single"/>
    </w:rPr>
  </w:style>
  <w:style w:type="paragraph" w:customStyle="1" w:styleId="TableBodyTextRight">
    <w:name w:val="Table Body Text Right"/>
    <w:basedOn w:val="TableBodyText"/>
    <w:rsid w:val="002F58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890"/>
    <w:rPr>
      <w:sz w:val="18"/>
    </w:rPr>
  </w:style>
  <w:style w:type="paragraph" w:customStyle="1" w:styleId="BodySmallRight">
    <w:name w:val="Body Small Right"/>
    <w:basedOn w:val="BodyTextRight"/>
    <w:rsid w:val="002F5890"/>
    <w:rPr>
      <w:sz w:val="18"/>
      <w:szCs w:val="18"/>
    </w:rPr>
  </w:style>
  <w:style w:type="paragraph" w:customStyle="1" w:styleId="MarginEdition">
    <w:name w:val="Margin Edition"/>
    <w:basedOn w:val="MarginNote"/>
    <w:rsid w:val="002F58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890"/>
    <w:rPr>
      <w:sz w:val="2"/>
      <w:szCs w:val="2"/>
    </w:rPr>
  </w:style>
  <w:style w:type="character" w:customStyle="1" w:styleId="Small">
    <w:name w:val="Small"/>
    <w:basedOn w:val="DefaultParagraphFont"/>
    <w:rsid w:val="002F5890"/>
    <w:rPr>
      <w:sz w:val="16"/>
    </w:rPr>
  </w:style>
  <w:style w:type="paragraph" w:customStyle="1" w:styleId="WideTable">
    <w:name w:val="Wide Table"/>
    <w:basedOn w:val="Normal"/>
    <w:rsid w:val="002F58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890"/>
  </w:style>
  <w:style w:type="paragraph" w:styleId="Quote">
    <w:name w:val="Quote"/>
    <w:basedOn w:val="Heading1"/>
    <w:link w:val="QuoteChar"/>
    <w:qFormat/>
    <w:rsid w:val="002F58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8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890"/>
    <w:pPr>
      <w:pageBreakBefore/>
    </w:pPr>
  </w:style>
  <w:style w:type="paragraph" w:customStyle="1" w:styleId="Border">
    <w:name w:val="Border"/>
    <w:basedOn w:val="Normal"/>
    <w:qFormat/>
    <w:rsid w:val="002F58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8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8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8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8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8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8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8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8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890"/>
    <w:rPr>
      <w:u w:val="single"/>
    </w:rPr>
  </w:style>
  <w:style w:type="character" w:customStyle="1" w:styleId="BoldandItalics">
    <w:name w:val="Bold and Italics"/>
    <w:qFormat/>
    <w:rsid w:val="002F5890"/>
    <w:rPr>
      <w:b/>
      <w:i/>
      <w:u w:val="none"/>
    </w:rPr>
  </w:style>
  <w:style w:type="paragraph" w:styleId="BalloonText">
    <w:name w:val="Balloon Text"/>
    <w:basedOn w:val="Normal"/>
    <w:link w:val="BalloonTextChar"/>
    <w:rsid w:val="002F58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8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8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8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8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8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890"/>
    <w:pPr>
      <w:spacing w:before="0" w:after="0"/>
    </w:pPr>
  </w:style>
  <w:style w:type="paragraph" w:customStyle="1" w:styleId="BodyTextBold">
    <w:name w:val="Body Text Bold"/>
    <w:basedOn w:val="BodyText"/>
    <w:qFormat/>
    <w:rsid w:val="002F5890"/>
    <w:rPr>
      <w:b/>
    </w:rPr>
  </w:style>
  <w:style w:type="character" w:styleId="Hyperlink">
    <w:name w:val="Hyperlink"/>
    <w:basedOn w:val="DefaultParagraphFont"/>
    <w:uiPriority w:val="99"/>
    <w:unhideWhenUsed/>
    <w:rsid w:val="00797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3309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MEM18008 Balance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