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3DA9" w:rsidP="00DE3DA9">
      <w:pPr>
        <w:pStyle w:val="Title"/>
      </w:pPr>
      <w:r>
        <w:fldChar w:fldCharType="begin"/>
      </w:r>
      <w:r>
        <w:instrText xml:space="preserve"> TITLE   \* MERGEFORMAT </w:instrText>
      </w:r>
      <w:r>
        <w:fldChar w:fldCharType="separate"/>
      </w:r>
      <w:r>
        <w:t>MEM18007 Maintain and repair mechanical drives and mechanical transmission assemblies</w:t>
      </w:r>
      <w:r>
        <w:fldChar w:fldCharType="end"/>
      </w:r>
    </w:p>
    <w:p w:rsidR="00DE3DA9" w:rsidP="00DE3DA9">
      <w:pPr>
        <w:pStyle w:val="Version"/>
        <w:sectPr w:rsidSect="00EF6CC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F6CC7" w:rsidP="00EF6CC7">
      <w:pPr>
        <w:pStyle w:val="SuperHeading"/>
      </w:pPr>
      <w:r w:rsidRPr="00EF6CC7">
        <w:t>MEM18007 Maintain and repair mechanical drives and mechanical transmission assemblies</w:t>
      </w:r>
    </w:p>
    <w:p w:rsidR="00000000" w:rsidRPr="00EF6CC7" w:rsidP="00EF6CC7">
      <w:pPr>
        <w:pStyle w:val="Heading1"/>
      </w:pPr>
      <w:bookmarkStart w:id="1" w:name="O_1169929"/>
      <w:bookmarkEnd w:id="1"/>
      <w:r w:rsidRPr="00EF6CC7">
        <w:t>Modification History</w:t>
      </w:r>
    </w:p>
    <w:p w:rsidR="00000000" w:rsidRPr="00EF6CC7" w:rsidP="00DE3DA9">
      <w:pPr>
        <w:pStyle w:val="BodyText"/>
      </w:pPr>
      <w:r w:rsidRPr="00EF6CC7">
        <w:t>Relea</w:t>
      </w:r>
      <w:r w:rsidRPr="00EF6CC7">
        <w:t>se 2. Quantum of hours of workplace practice removed. Supersedes and is equivalent to MEM18007 Maintain and repair mechanical drives and mechanical transmission assemblies (Release 1).</w:t>
      </w:r>
    </w:p>
    <w:p w:rsidR="00000000" w:rsidRPr="00EF6CC7" w:rsidP="00DE3DA9">
      <w:pPr>
        <w:pStyle w:val="BodyText"/>
      </w:pPr>
      <w:r w:rsidRPr="00EF6CC7">
        <w:t>Release 1. Supersedes and is equivalent to MEM18007B Maintain and repai</w:t>
      </w:r>
      <w:r w:rsidRPr="00EF6CC7">
        <w:t>r mechanical drives and mechanical transmission assemblies.</w:t>
      </w:r>
    </w:p>
    <w:p w:rsidR="00000000" w:rsidRPr="00EF6CC7" w:rsidP="00EF6CC7">
      <w:pPr>
        <w:pStyle w:val="Heading1"/>
      </w:pPr>
      <w:bookmarkStart w:id="2" w:name="O_1169928"/>
      <w:bookmarkEnd w:id="2"/>
      <w:r w:rsidRPr="00EF6CC7">
        <w:t>Application</w:t>
      </w:r>
    </w:p>
    <w:p w:rsidR="00000000" w:rsidRPr="00EF6CC7" w:rsidP="00DE3DA9">
      <w:pPr>
        <w:pStyle w:val="BodyText"/>
      </w:pPr>
      <w:r w:rsidRPr="00EF6CC7">
        <w:t>This unit of competency defines the skills and knowledge required to undertake maintenance, diagnose faults and repair drives and transmission assemblies, and undert</w:t>
      </w:r>
      <w:r w:rsidRPr="00EF6CC7">
        <w:t>ake final adjustment and commissioning on industrial machinery.</w:t>
      </w:r>
    </w:p>
    <w:p w:rsidR="00000000" w:rsidRPr="00EF6CC7" w:rsidP="00DE3DA9">
      <w:pPr>
        <w:pStyle w:val="BodyText"/>
      </w:pPr>
      <w:r w:rsidRPr="00EF6CC7">
        <w:t xml:space="preserve">Where levelling and alignment of machines and engineering components is required unit MEM18009 Perform precision levelling and alignment of machines and engineering components should also be </w:t>
      </w:r>
      <w:r w:rsidRPr="00EF6CC7">
        <w:t>selected.</w:t>
      </w:r>
    </w:p>
    <w:p w:rsidR="00000000" w:rsidRPr="00EF6CC7" w:rsidP="00DE3DA9">
      <w:pPr>
        <w:pStyle w:val="BodyText"/>
      </w:pPr>
      <w:r w:rsidRPr="00EF6CC7">
        <w:t>MEM27028 Diagnose and rectify manual transmissions, MEM27014 Diagnose and rectify automatic transmissions and MEM27015 Diagnose and rectify drive line and final drives define the skills and knowledge applicable to mobile plant.</w:t>
      </w:r>
    </w:p>
    <w:p w:rsidR="00000000" w:rsidRPr="00EF6CC7" w:rsidP="00DE3DA9">
      <w:pPr>
        <w:pStyle w:val="BodyText"/>
      </w:pPr>
      <w:r w:rsidRPr="00EF6CC7">
        <w:t>No licensing, le</w:t>
      </w:r>
      <w:r w:rsidRPr="00EF6CC7">
        <w:t>gislative or certification requirements apply to this unit at the time of publication.</w:t>
      </w:r>
    </w:p>
    <w:p w:rsidR="00000000" w:rsidRPr="00EF6CC7" w:rsidP="00EF6CC7">
      <w:pPr>
        <w:pStyle w:val="BodyText"/>
      </w:pPr>
      <w:r w:rsidRPr="00EF6CC7">
        <w:rPr>
          <w:rStyle w:val="SpecialBold"/>
        </w:rPr>
        <w:t>Band</w:t>
      </w:r>
      <w:r w:rsidRPr="00EF6CC7">
        <w:t>:</w:t>
      </w:r>
      <w:r w:rsidRPr="00EF6CC7">
        <w:tab/>
      </w:r>
      <w:r w:rsidRPr="00EF6CC7">
        <w:rPr>
          <w:rStyle w:val="SpecialBold"/>
        </w:rPr>
        <w:t>A</w:t>
      </w:r>
    </w:p>
    <w:p w:rsidR="00000000" w:rsidRPr="00EF6CC7" w:rsidP="00EF6CC7">
      <w:pPr>
        <w:pStyle w:val="BodyText"/>
      </w:pPr>
      <w:r w:rsidRPr="00EF6CC7">
        <w:rPr>
          <w:rStyle w:val="SpecialBold"/>
        </w:rPr>
        <w:t>Unit Weight</w:t>
      </w:r>
      <w:r w:rsidRPr="00EF6CC7">
        <w:t>:</w:t>
      </w:r>
      <w:r w:rsidRPr="00EF6CC7">
        <w:tab/>
      </w:r>
      <w:r w:rsidRPr="00EF6CC7">
        <w:rPr>
          <w:rStyle w:val="SpecialBold"/>
        </w:rPr>
        <w:t>4</w:t>
      </w:r>
    </w:p>
    <w:p w:rsidR="00000000" w:rsidRPr="00EF6CC7" w:rsidP="00EF6CC7">
      <w:pPr>
        <w:pStyle w:val="AllowPageBreak"/>
      </w:pPr>
    </w:p>
    <w:p w:rsidR="00000000" w:rsidRPr="00EF6CC7" w:rsidP="00EF6CC7">
      <w:pPr>
        <w:pStyle w:val="Heading1"/>
      </w:pPr>
      <w:bookmarkStart w:id="3" w:name="O_1169927"/>
      <w:bookmarkEnd w:id="3"/>
      <w:r w:rsidRPr="00EF6CC7">
        <w:t>Pre-requisite Unit</w:t>
      </w:r>
    </w:p>
    <w:tbl>
      <w:tblPr>
        <w:tblW w:w="0" w:type="auto"/>
        <w:tblLayout w:type="fixed"/>
        <w:tblCellMar>
          <w:left w:w="62" w:type="dxa"/>
          <w:right w:w="62" w:type="dxa"/>
        </w:tblCellMar>
        <w:tblLook w:val="0000"/>
      </w:tblPr>
      <w:tblGrid>
        <w:gridCol w:w="2204"/>
        <w:gridCol w:w="6360"/>
      </w:tblGrid>
      <w:tr w:rsidTr="00EF6CC7">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EF6CC7">
            <w:pPr>
              <w:pStyle w:val="BodyText"/>
              <w:rPr>
                <w:lang w:val="en-NZ"/>
              </w:rPr>
            </w:pPr>
            <w:r w:rsidRPr="00EF6CC7">
              <w:t>MEM09002</w:t>
            </w:r>
          </w:p>
        </w:tc>
        <w:tc>
          <w:tcPr>
            <w:tcW w:w="6360" w:type="dxa"/>
            <w:tcBorders>
              <w:top w:val="nil"/>
              <w:left w:val="nil"/>
              <w:bottom w:val="nil"/>
              <w:right w:val="nil"/>
            </w:tcBorders>
            <w:tcMar>
              <w:top w:w="0" w:type="dxa"/>
              <w:left w:w="62" w:type="dxa"/>
              <w:bottom w:w="0" w:type="dxa"/>
              <w:right w:w="62" w:type="dxa"/>
            </w:tcMar>
          </w:tcPr>
          <w:p w:rsidR="00000000" w:rsidP="00EF6CC7">
            <w:pPr>
              <w:pStyle w:val="BodyText"/>
              <w:rPr>
                <w:lang w:val="en-NZ"/>
              </w:rPr>
            </w:pPr>
            <w:r w:rsidRPr="00EF6CC7">
              <w:t>Interpret technical drawing</w:t>
            </w:r>
          </w:p>
        </w:tc>
      </w:tr>
      <w:tr w:rsidTr="00EF6CC7">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EF6CC7">
            <w:pPr>
              <w:pStyle w:val="BodyText"/>
              <w:rPr>
                <w:lang w:val="en-NZ"/>
              </w:rPr>
            </w:pPr>
            <w:r w:rsidRPr="00EF6CC7">
              <w:t>MEM11011</w:t>
            </w:r>
          </w:p>
        </w:tc>
        <w:tc>
          <w:tcPr>
            <w:tcW w:w="6360" w:type="dxa"/>
            <w:tcBorders>
              <w:top w:val="nil"/>
              <w:left w:val="nil"/>
              <w:bottom w:val="nil"/>
              <w:right w:val="nil"/>
            </w:tcBorders>
            <w:tcMar>
              <w:top w:w="0" w:type="dxa"/>
              <w:left w:w="62" w:type="dxa"/>
              <w:bottom w:w="0" w:type="dxa"/>
              <w:right w:w="62" w:type="dxa"/>
            </w:tcMar>
          </w:tcPr>
          <w:p w:rsidR="00000000" w:rsidP="00EF6CC7">
            <w:pPr>
              <w:pStyle w:val="BodyText"/>
              <w:rPr>
                <w:lang w:val="en-NZ"/>
              </w:rPr>
            </w:pPr>
            <w:r w:rsidRPr="00EF6CC7">
              <w:t>Undertake manual handling</w:t>
            </w:r>
          </w:p>
        </w:tc>
      </w:tr>
      <w:tr w:rsidTr="00EF6CC7">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EF6CC7">
            <w:pPr>
              <w:pStyle w:val="BodyText"/>
              <w:rPr>
                <w:lang w:val="en-NZ"/>
              </w:rPr>
            </w:pPr>
            <w:r w:rsidRPr="00EF6CC7">
              <w:t>MEM12023</w:t>
            </w:r>
          </w:p>
        </w:tc>
        <w:tc>
          <w:tcPr>
            <w:tcW w:w="6360" w:type="dxa"/>
            <w:tcBorders>
              <w:top w:val="nil"/>
              <w:left w:val="nil"/>
              <w:bottom w:val="nil"/>
              <w:right w:val="nil"/>
            </w:tcBorders>
            <w:tcMar>
              <w:top w:w="0" w:type="dxa"/>
              <w:left w:w="62" w:type="dxa"/>
              <w:bottom w:w="0" w:type="dxa"/>
              <w:right w:w="62" w:type="dxa"/>
            </w:tcMar>
          </w:tcPr>
          <w:p w:rsidR="00000000" w:rsidP="00EF6CC7">
            <w:pPr>
              <w:pStyle w:val="BodyText"/>
              <w:rPr>
                <w:lang w:val="en-NZ"/>
              </w:rPr>
            </w:pPr>
            <w:r w:rsidRPr="00EF6CC7">
              <w:t>Perform engineering measurements</w:t>
            </w:r>
          </w:p>
        </w:tc>
      </w:tr>
      <w:tr w:rsidTr="00EF6CC7">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EF6CC7">
            <w:pPr>
              <w:pStyle w:val="BodyText"/>
              <w:rPr>
                <w:lang w:val="en-NZ"/>
              </w:rPr>
            </w:pPr>
            <w:r w:rsidRPr="00EF6CC7">
              <w:t>MEM12024</w:t>
            </w:r>
          </w:p>
        </w:tc>
        <w:tc>
          <w:tcPr>
            <w:tcW w:w="6360" w:type="dxa"/>
            <w:tcBorders>
              <w:top w:val="nil"/>
              <w:left w:val="nil"/>
              <w:bottom w:val="nil"/>
              <w:right w:val="nil"/>
            </w:tcBorders>
            <w:tcMar>
              <w:top w:w="0" w:type="dxa"/>
              <w:left w:w="62" w:type="dxa"/>
              <w:bottom w:w="0" w:type="dxa"/>
              <w:right w:w="62" w:type="dxa"/>
            </w:tcMar>
          </w:tcPr>
          <w:p w:rsidR="00000000" w:rsidP="00EF6CC7">
            <w:pPr>
              <w:pStyle w:val="BodyText"/>
              <w:rPr>
                <w:lang w:val="en-NZ"/>
              </w:rPr>
            </w:pPr>
            <w:r w:rsidRPr="00EF6CC7">
              <w:t>Perform computations</w:t>
            </w:r>
          </w:p>
        </w:tc>
      </w:tr>
      <w:tr w:rsidTr="00EF6CC7">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EF6CC7">
            <w:pPr>
              <w:pStyle w:val="BodyText"/>
              <w:rPr>
                <w:lang w:val="en-NZ"/>
              </w:rPr>
            </w:pPr>
            <w:r w:rsidRPr="00EF6CC7">
              <w:t>MEM13015</w:t>
            </w:r>
          </w:p>
        </w:tc>
        <w:tc>
          <w:tcPr>
            <w:tcW w:w="6360" w:type="dxa"/>
            <w:tcBorders>
              <w:top w:val="nil"/>
              <w:left w:val="nil"/>
              <w:bottom w:val="nil"/>
              <w:right w:val="nil"/>
            </w:tcBorders>
            <w:tcMar>
              <w:top w:w="0" w:type="dxa"/>
              <w:left w:w="62" w:type="dxa"/>
              <w:bottom w:w="0" w:type="dxa"/>
              <w:right w:w="62" w:type="dxa"/>
            </w:tcMar>
          </w:tcPr>
          <w:p w:rsidR="00000000" w:rsidP="00EF6CC7">
            <w:pPr>
              <w:pStyle w:val="BodyText"/>
              <w:rPr>
                <w:lang w:val="en-NZ"/>
              </w:rPr>
            </w:pPr>
            <w:r w:rsidRPr="00EF6CC7">
              <w:t>Work safely and effectively in manufacturing and engineering</w:t>
            </w:r>
          </w:p>
        </w:tc>
      </w:tr>
      <w:tr w:rsidTr="00EF6CC7">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EF6CC7">
            <w:pPr>
              <w:pStyle w:val="BodyText"/>
              <w:rPr>
                <w:lang w:val="en-NZ"/>
              </w:rPr>
            </w:pPr>
            <w:r w:rsidRPr="00EF6CC7">
              <w:t>MEM14006</w:t>
            </w:r>
          </w:p>
        </w:tc>
        <w:tc>
          <w:tcPr>
            <w:tcW w:w="6360" w:type="dxa"/>
            <w:tcBorders>
              <w:top w:val="nil"/>
              <w:left w:val="nil"/>
              <w:bottom w:val="nil"/>
              <w:right w:val="nil"/>
            </w:tcBorders>
            <w:tcMar>
              <w:top w:w="0" w:type="dxa"/>
              <w:left w:w="62" w:type="dxa"/>
              <w:bottom w:w="0" w:type="dxa"/>
              <w:right w:w="62" w:type="dxa"/>
            </w:tcMar>
          </w:tcPr>
          <w:p w:rsidR="00000000" w:rsidP="00EF6CC7">
            <w:pPr>
              <w:pStyle w:val="BodyText"/>
              <w:rPr>
                <w:lang w:val="en-NZ"/>
              </w:rPr>
            </w:pPr>
            <w:r w:rsidRPr="00EF6CC7">
              <w:t>Plan work activities</w:t>
            </w:r>
          </w:p>
        </w:tc>
      </w:tr>
      <w:tr w:rsidTr="00EF6CC7">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EF6CC7">
            <w:pPr>
              <w:pStyle w:val="BodyText"/>
              <w:rPr>
                <w:lang w:val="en-NZ"/>
              </w:rPr>
            </w:pPr>
            <w:r w:rsidRPr="00EF6CC7">
              <w:t>MEM16006</w:t>
            </w:r>
          </w:p>
        </w:tc>
        <w:tc>
          <w:tcPr>
            <w:tcW w:w="6360" w:type="dxa"/>
            <w:tcBorders>
              <w:top w:val="nil"/>
              <w:left w:val="nil"/>
              <w:bottom w:val="nil"/>
              <w:right w:val="nil"/>
            </w:tcBorders>
            <w:tcMar>
              <w:top w:w="0" w:type="dxa"/>
              <w:left w:w="62" w:type="dxa"/>
              <w:bottom w:w="0" w:type="dxa"/>
              <w:right w:w="62" w:type="dxa"/>
            </w:tcMar>
          </w:tcPr>
          <w:p w:rsidR="00000000" w:rsidP="00EF6CC7">
            <w:pPr>
              <w:pStyle w:val="BodyText"/>
              <w:rPr>
                <w:lang w:val="en-NZ"/>
              </w:rPr>
            </w:pPr>
            <w:r w:rsidRPr="00EF6CC7">
              <w:t>Organise and communicate information</w:t>
            </w:r>
          </w:p>
        </w:tc>
      </w:tr>
      <w:tr w:rsidTr="00EF6CC7">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EF6CC7">
            <w:pPr>
              <w:pStyle w:val="BodyText"/>
              <w:rPr>
                <w:lang w:val="en-NZ"/>
              </w:rPr>
            </w:pPr>
            <w:r w:rsidRPr="00EF6CC7">
              <w:t>MEM18001</w:t>
            </w:r>
          </w:p>
        </w:tc>
        <w:tc>
          <w:tcPr>
            <w:tcW w:w="6360" w:type="dxa"/>
            <w:tcBorders>
              <w:top w:val="nil"/>
              <w:left w:val="nil"/>
              <w:bottom w:val="nil"/>
              <w:right w:val="nil"/>
            </w:tcBorders>
            <w:tcMar>
              <w:top w:w="0" w:type="dxa"/>
              <w:left w:w="62" w:type="dxa"/>
              <w:bottom w:w="0" w:type="dxa"/>
              <w:right w:w="62" w:type="dxa"/>
            </w:tcMar>
          </w:tcPr>
          <w:p w:rsidR="00000000" w:rsidP="00EF6CC7">
            <w:pPr>
              <w:pStyle w:val="BodyText"/>
              <w:rPr>
                <w:lang w:val="en-NZ"/>
              </w:rPr>
            </w:pPr>
            <w:r w:rsidRPr="00EF6CC7">
              <w:t>Use hand tools</w:t>
            </w:r>
          </w:p>
        </w:tc>
      </w:tr>
      <w:tr w:rsidTr="00EF6CC7">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EF6CC7">
            <w:pPr>
              <w:pStyle w:val="BodyText"/>
              <w:rPr>
                <w:lang w:val="en-NZ"/>
              </w:rPr>
            </w:pPr>
            <w:r w:rsidRPr="00EF6CC7">
              <w:t>MEM18002</w:t>
            </w:r>
          </w:p>
        </w:tc>
        <w:tc>
          <w:tcPr>
            <w:tcW w:w="6360" w:type="dxa"/>
            <w:tcBorders>
              <w:top w:val="nil"/>
              <w:left w:val="nil"/>
              <w:bottom w:val="nil"/>
              <w:right w:val="nil"/>
            </w:tcBorders>
            <w:tcMar>
              <w:top w:w="0" w:type="dxa"/>
              <w:left w:w="62" w:type="dxa"/>
              <w:bottom w:w="0" w:type="dxa"/>
              <w:right w:w="62" w:type="dxa"/>
            </w:tcMar>
          </w:tcPr>
          <w:p w:rsidR="00000000" w:rsidP="00EF6CC7">
            <w:pPr>
              <w:pStyle w:val="BodyText"/>
              <w:rPr>
                <w:lang w:val="en-NZ"/>
              </w:rPr>
            </w:pPr>
            <w:r w:rsidRPr="00EF6CC7">
              <w:t>Use powe</w:t>
            </w:r>
            <w:r w:rsidRPr="00EF6CC7">
              <w:t>r tools/hand held operations</w:t>
            </w:r>
          </w:p>
        </w:tc>
      </w:tr>
      <w:tr w:rsidTr="00EF6CC7">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EF6CC7">
            <w:pPr>
              <w:pStyle w:val="BodyText"/>
              <w:rPr>
                <w:lang w:val="en-NZ"/>
              </w:rPr>
            </w:pPr>
            <w:r w:rsidRPr="00EF6CC7">
              <w:t>MEM18003</w:t>
            </w:r>
          </w:p>
        </w:tc>
        <w:tc>
          <w:tcPr>
            <w:tcW w:w="6360" w:type="dxa"/>
            <w:tcBorders>
              <w:top w:val="nil"/>
              <w:left w:val="nil"/>
              <w:bottom w:val="nil"/>
              <w:right w:val="nil"/>
            </w:tcBorders>
            <w:tcMar>
              <w:top w:w="0" w:type="dxa"/>
              <w:left w:w="62" w:type="dxa"/>
              <w:bottom w:w="0" w:type="dxa"/>
              <w:right w:w="62" w:type="dxa"/>
            </w:tcMar>
          </w:tcPr>
          <w:p w:rsidR="00000000" w:rsidP="00EF6CC7">
            <w:pPr>
              <w:pStyle w:val="BodyText"/>
              <w:rPr>
                <w:lang w:val="en-NZ"/>
              </w:rPr>
            </w:pPr>
            <w:r w:rsidRPr="00EF6CC7">
              <w:t>Use tools for precision work</w:t>
            </w:r>
          </w:p>
        </w:tc>
      </w:tr>
      <w:tr w:rsidTr="00EF6CC7">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EF6CC7">
            <w:pPr>
              <w:pStyle w:val="BodyText"/>
              <w:rPr>
                <w:lang w:val="en-NZ"/>
              </w:rPr>
            </w:pPr>
            <w:r w:rsidRPr="00EF6CC7">
              <w:t>MEM18006</w:t>
            </w:r>
          </w:p>
        </w:tc>
        <w:tc>
          <w:tcPr>
            <w:tcW w:w="6360" w:type="dxa"/>
            <w:tcBorders>
              <w:top w:val="nil"/>
              <w:left w:val="nil"/>
              <w:bottom w:val="nil"/>
              <w:right w:val="nil"/>
            </w:tcBorders>
            <w:tcMar>
              <w:top w:w="0" w:type="dxa"/>
              <w:left w:w="62" w:type="dxa"/>
              <w:bottom w:w="0" w:type="dxa"/>
              <w:right w:w="62" w:type="dxa"/>
            </w:tcMar>
          </w:tcPr>
          <w:p w:rsidR="00000000" w:rsidP="00EF6CC7">
            <w:pPr>
              <w:pStyle w:val="BodyText"/>
              <w:rPr>
                <w:lang w:val="en-NZ"/>
              </w:rPr>
            </w:pPr>
            <w:r w:rsidRPr="00EF6CC7">
              <w:t>Perform precision fitting of engineering components</w:t>
            </w:r>
          </w:p>
        </w:tc>
      </w:tr>
      <w:tr w:rsidTr="00EF6CC7">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EF6CC7">
            <w:pPr>
              <w:pStyle w:val="BodyText"/>
              <w:rPr>
                <w:lang w:val="en-NZ"/>
              </w:rPr>
            </w:pPr>
            <w:r w:rsidRPr="00EF6CC7">
              <w:t>MEM18055</w:t>
            </w:r>
          </w:p>
        </w:tc>
        <w:tc>
          <w:tcPr>
            <w:tcW w:w="6360" w:type="dxa"/>
            <w:tcBorders>
              <w:top w:val="nil"/>
              <w:left w:val="nil"/>
              <w:bottom w:val="nil"/>
              <w:right w:val="nil"/>
            </w:tcBorders>
            <w:tcMar>
              <w:top w:w="0" w:type="dxa"/>
              <w:left w:w="62" w:type="dxa"/>
              <w:bottom w:w="0" w:type="dxa"/>
              <w:right w:w="62" w:type="dxa"/>
            </w:tcMar>
          </w:tcPr>
          <w:p w:rsidR="00000000" w:rsidRPr="00EF6CC7" w:rsidP="00EF6CC7">
            <w:pPr>
              <w:pStyle w:val="BodyText"/>
            </w:pPr>
            <w:r w:rsidRPr="00EF6CC7">
              <w:t>Dismantle, replace and assemble engineering components</w:t>
            </w:r>
          </w:p>
        </w:tc>
      </w:tr>
    </w:tbl>
    <w:p w:rsidR="00000000" w:rsidRPr="00EF6CC7" w:rsidP="00EF6CC7">
      <w:pPr>
        <w:pStyle w:val="BodyText"/>
      </w:pPr>
    </w:p>
    <w:p w:rsidR="00000000" w:rsidRPr="00EF6CC7" w:rsidP="00EF6CC7">
      <w:pPr>
        <w:pStyle w:val="AllowPageBreak"/>
      </w:pPr>
    </w:p>
    <w:p w:rsidR="00000000" w:rsidRPr="00EF6CC7" w:rsidP="00EF6CC7">
      <w:pPr>
        <w:pStyle w:val="Heading1"/>
      </w:pPr>
      <w:bookmarkStart w:id="4" w:name="O_1169926"/>
      <w:bookmarkEnd w:id="4"/>
      <w:r w:rsidRPr="00EF6CC7">
        <w:t>Competency Field</w:t>
      </w:r>
    </w:p>
    <w:p w:rsidR="00000000" w:rsidRPr="00EF6CC7" w:rsidP="00DE3DA9">
      <w:pPr>
        <w:pStyle w:val="BodyText"/>
      </w:pPr>
      <w:r w:rsidRPr="00EF6CC7">
        <w:t>Maintenance and diagnostics</w:t>
      </w:r>
    </w:p>
    <w:p w:rsidR="00000000" w:rsidRPr="00EF6CC7" w:rsidP="00EF6CC7">
      <w:pPr>
        <w:pStyle w:val="Heading1"/>
      </w:pPr>
      <w:bookmarkStart w:id="5" w:name="O_1169925"/>
      <w:bookmarkEnd w:id="5"/>
      <w:r w:rsidRPr="00EF6CC7">
        <w:t>Elements and Performance Criteria</w:t>
      </w:r>
    </w:p>
    <w:tbl>
      <w:tblPr>
        <w:tblW w:w="0" w:type="auto"/>
        <w:tblLayout w:type="fixed"/>
        <w:tblCellMar>
          <w:left w:w="62" w:type="dxa"/>
          <w:right w:w="62" w:type="dxa"/>
        </w:tblCellMar>
        <w:tblLook w:val="0000"/>
      </w:tblPr>
      <w:tblGrid>
        <w:gridCol w:w="683"/>
        <w:gridCol w:w="1974"/>
        <w:gridCol w:w="775"/>
        <w:gridCol w:w="5641"/>
      </w:tblGrid>
      <w:tr w:rsidTr="00EF6CC7">
        <w:tblPrEx>
          <w:tblW w:w="0" w:type="auto"/>
          <w:tblLayout w:type="fixed"/>
          <w:tblCellMar>
            <w:left w:w="62" w:type="dxa"/>
            <w:right w:w="62" w:type="dxa"/>
          </w:tblCellMar>
          <w:tblLook w:val="0000"/>
        </w:tblPrEx>
        <w:trPr>
          <w:tblHeader/>
        </w:trPr>
        <w:tc>
          <w:tcPr>
            <w:tcW w:w="2657" w:type="dxa"/>
            <w:gridSpan w:val="2"/>
            <w:tcBorders>
              <w:top w:val="nil"/>
              <w:left w:val="nil"/>
              <w:bottom w:val="nil"/>
              <w:right w:val="nil"/>
            </w:tcBorders>
            <w:tcMar>
              <w:top w:w="0" w:type="dxa"/>
              <w:left w:w="62" w:type="dxa"/>
              <w:bottom w:w="0" w:type="dxa"/>
              <w:right w:w="62" w:type="dxa"/>
            </w:tcMar>
          </w:tcPr>
          <w:p w:rsidR="00000000" w:rsidP="00EF6CC7">
            <w:pPr>
              <w:pStyle w:val="BodyText"/>
              <w:rPr>
                <w:lang w:val="en-NZ"/>
              </w:rPr>
            </w:pPr>
            <w:r w:rsidRPr="00EF6CC7">
              <w:t>Elements describe the essential outcomes.</w:t>
            </w:r>
          </w:p>
        </w:tc>
        <w:tc>
          <w:tcPr>
            <w:tcW w:w="6416" w:type="dxa"/>
            <w:gridSpan w:val="2"/>
            <w:tcBorders>
              <w:top w:val="nil"/>
              <w:left w:val="nil"/>
              <w:bottom w:val="nil"/>
              <w:right w:val="nil"/>
            </w:tcBorders>
            <w:tcMar>
              <w:top w:w="0" w:type="dxa"/>
              <w:left w:w="62" w:type="dxa"/>
              <w:bottom w:w="0" w:type="dxa"/>
              <w:right w:w="62" w:type="dxa"/>
            </w:tcMar>
          </w:tcPr>
          <w:p w:rsidR="00000000" w:rsidP="00EF6CC7">
            <w:pPr>
              <w:pStyle w:val="BodyText"/>
              <w:rPr>
                <w:lang w:val="en-NZ"/>
              </w:rPr>
            </w:pPr>
            <w:r w:rsidRPr="00EF6CC7">
              <w:t>Performance criteria describe the performance needed to demonstrate achievement of the element.</w:t>
            </w:r>
          </w:p>
        </w:tc>
      </w:tr>
      <w:tr w:rsidTr="00EF6CC7">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EF6CC7" w:rsidP="00EF6CC7">
            <w:pPr>
              <w:pStyle w:val="BodyText"/>
            </w:pPr>
            <w:r w:rsidRPr="00EF6CC7">
              <w:t>1</w:t>
            </w:r>
          </w:p>
        </w:tc>
        <w:tc>
          <w:tcPr>
            <w:tcW w:w="1974" w:type="dxa"/>
            <w:vMerge w:val="restart"/>
            <w:tcBorders>
              <w:top w:val="nil"/>
              <w:left w:val="nil"/>
              <w:bottom w:val="nil"/>
              <w:right w:val="nil"/>
            </w:tcBorders>
            <w:tcMar>
              <w:top w:w="0" w:type="dxa"/>
              <w:left w:w="62" w:type="dxa"/>
              <w:bottom w:w="0" w:type="dxa"/>
              <w:right w:w="62" w:type="dxa"/>
            </w:tcMar>
          </w:tcPr>
          <w:p w:rsidR="00000000" w:rsidP="00EF6CC7">
            <w:pPr>
              <w:pStyle w:val="BodyText"/>
              <w:rPr>
                <w:lang w:val="en-NZ"/>
              </w:rPr>
            </w:pPr>
            <w:r w:rsidRPr="00EF6CC7">
              <w:rPr>
                <w:rStyle w:val="SpecialBold"/>
              </w:rPr>
              <w:t>Determine job requirements</w:t>
            </w:r>
          </w:p>
        </w:tc>
        <w:tc>
          <w:tcPr>
            <w:tcW w:w="775" w:type="dxa"/>
            <w:tcBorders>
              <w:top w:val="nil"/>
              <w:left w:val="nil"/>
              <w:bottom w:val="nil"/>
              <w:right w:val="nil"/>
            </w:tcBorders>
            <w:tcMar>
              <w:top w:w="0" w:type="dxa"/>
              <w:left w:w="62" w:type="dxa"/>
              <w:bottom w:w="0" w:type="dxa"/>
              <w:right w:w="62" w:type="dxa"/>
            </w:tcMar>
          </w:tcPr>
          <w:p w:rsidR="00000000" w:rsidP="00EF6CC7">
            <w:pPr>
              <w:pStyle w:val="BodyText"/>
              <w:rPr>
                <w:lang w:val="en-NZ"/>
              </w:rPr>
            </w:pPr>
            <w:r w:rsidRPr="00EF6CC7">
              <w:t>1.1</w:t>
            </w:r>
          </w:p>
        </w:tc>
        <w:tc>
          <w:tcPr>
            <w:tcW w:w="5641" w:type="dxa"/>
            <w:tcBorders>
              <w:top w:val="nil"/>
              <w:left w:val="nil"/>
              <w:bottom w:val="nil"/>
              <w:right w:val="nil"/>
            </w:tcBorders>
            <w:tcMar>
              <w:top w:w="0" w:type="dxa"/>
              <w:left w:w="62" w:type="dxa"/>
              <w:bottom w:w="0" w:type="dxa"/>
              <w:right w:w="62" w:type="dxa"/>
            </w:tcMar>
          </w:tcPr>
          <w:p w:rsidR="00000000" w:rsidP="00EF6CC7">
            <w:pPr>
              <w:pStyle w:val="BodyText"/>
              <w:rPr>
                <w:lang w:val="en-NZ"/>
              </w:rPr>
            </w:pPr>
            <w:r w:rsidRPr="00EF6CC7">
              <w:t>Follow standard operating procedures (SOPs)</w:t>
            </w:r>
          </w:p>
        </w:tc>
      </w:tr>
      <w:tr w:rsidTr="00EF6CC7">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EF6CC7">
            <w:pPr>
              <w:pStyle w:val="BodyText"/>
              <w:rPr>
                <w:lang w:val="en-NZ"/>
              </w:rPr>
            </w:pPr>
            <w:r w:rsidRPr="00EF6CC7">
              <w:t>1.2</w:t>
            </w:r>
          </w:p>
        </w:tc>
        <w:tc>
          <w:tcPr>
            <w:tcW w:w="5641" w:type="dxa"/>
            <w:tcBorders>
              <w:top w:val="nil"/>
              <w:left w:val="nil"/>
              <w:bottom w:val="nil"/>
              <w:right w:val="nil"/>
            </w:tcBorders>
            <w:tcMar>
              <w:top w:w="0" w:type="dxa"/>
              <w:left w:w="62" w:type="dxa"/>
              <w:bottom w:w="0" w:type="dxa"/>
              <w:right w:w="62" w:type="dxa"/>
            </w:tcMar>
          </w:tcPr>
          <w:p w:rsidR="00000000" w:rsidP="00EF6CC7">
            <w:pPr>
              <w:pStyle w:val="BodyText"/>
              <w:rPr>
                <w:lang w:val="en-NZ"/>
              </w:rPr>
            </w:pPr>
            <w:r w:rsidRPr="00EF6CC7">
              <w:t>Comply with work health and safety (WHS) requirements at all times</w:t>
            </w:r>
          </w:p>
        </w:tc>
      </w:tr>
      <w:tr w:rsidTr="00EF6CC7">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EF6CC7">
            <w:pPr>
              <w:pStyle w:val="BodyText"/>
              <w:rPr>
                <w:lang w:val="en-NZ"/>
              </w:rPr>
            </w:pPr>
            <w:r w:rsidRPr="00EF6CC7">
              <w:t>1.3</w:t>
            </w:r>
          </w:p>
        </w:tc>
        <w:tc>
          <w:tcPr>
            <w:tcW w:w="5641" w:type="dxa"/>
            <w:tcBorders>
              <w:top w:val="nil"/>
              <w:left w:val="nil"/>
              <w:bottom w:val="nil"/>
              <w:right w:val="nil"/>
            </w:tcBorders>
            <w:tcMar>
              <w:top w:w="0" w:type="dxa"/>
              <w:left w:w="62" w:type="dxa"/>
              <w:bottom w:w="0" w:type="dxa"/>
              <w:right w:w="62" w:type="dxa"/>
            </w:tcMar>
          </w:tcPr>
          <w:p w:rsidR="00000000" w:rsidP="00EF6CC7">
            <w:pPr>
              <w:pStyle w:val="BodyText"/>
              <w:rPr>
                <w:lang w:val="en-NZ"/>
              </w:rPr>
            </w:pPr>
            <w:r w:rsidRPr="00EF6CC7">
              <w:t>Use appropriate personal protective equipment (PPE) in accordance with SOPs</w:t>
            </w:r>
          </w:p>
        </w:tc>
      </w:tr>
      <w:tr w:rsidTr="00EF6CC7">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EF6CC7">
            <w:pPr>
              <w:pStyle w:val="BodyText"/>
              <w:rPr>
                <w:lang w:val="en-NZ"/>
              </w:rPr>
            </w:pPr>
            <w:r w:rsidRPr="00EF6CC7">
              <w:t>1.4</w:t>
            </w:r>
          </w:p>
        </w:tc>
        <w:tc>
          <w:tcPr>
            <w:tcW w:w="5641" w:type="dxa"/>
            <w:tcBorders>
              <w:top w:val="nil"/>
              <w:left w:val="nil"/>
              <w:bottom w:val="nil"/>
              <w:right w:val="nil"/>
            </w:tcBorders>
            <w:tcMar>
              <w:top w:w="0" w:type="dxa"/>
              <w:left w:w="62" w:type="dxa"/>
              <w:bottom w:w="0" w:type="dxa"/>
              <w:right w:w="62" w:type="dxa"/>
            </w:tcMar>
          </w:tcPr>
          <w:p w:rsidR="00000000" w:rsidP="00EF6CC7">
            <w:pPr>
              <w:pStyle w:val="BodyText"/>
              <w:rPr>
                <w:lang w:val="en-NZ"/>
              </w:rPr>
            </w:pPr>
            <w:r w:rsidRPr="00EF6CC7">
              <w:t>Identify job requirements from specifications, drawings, job sheets or work instructions</w:t>
            </w:r>
          </w:p>
        </w:tc>
      </w:tr>
      <w:tr w:rsidTr="00EF6CC7">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EF6CC7">
            <w:pPr>
              <w:pStyle w:val="BodyText"/>
              <w:rPr>
                <w:lang w:val="en-NZ"/>
              </w:rPr>
            </w:pPr>
          </w:p>
        </w:tc>
      </w:tr>
      <w:tr w:rsidTr="00EF6CC7">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EF6CC7" w:rsidP="00EF6CC7">
            <w:pPr>
              <w:pStyle w:val="BodyText"/>
            </w:pPr>
            <w:r w:rsidRPr="00EF6CC7">
              <w:t>2</w:t>
            </w:r>
          </w:p>
        </w:tc>
        <w:tc>
          <w:tcPr>
            <w:tcW w:w="1974" w:type="dxa"/>
            <w:vMerge w:val="restart"/>
            <w:tcBorders>
              <w:top w:val="nil"/>
              <w:left w:val="nil"/>
              <w:bottom w:val="nil"/>
              <w:right w:val="nil"/>
            </w:tcBorders>
            <w:tcMar>
              <w:top w:w="0" w:type="dxa"/>
              <w:left w:w="62" w:type="dxa"/>
              <w:bottom w:w="0" w:type="dxa"/>
              <w:right w:w="62" w:type="dxa"/>
            </w:tcMar>
          </w:tcPr>
          <w:p w:rsidR="00000000" w:rsidP="00EF6CC7">
            <w:pPr>
              <w:pStyle w:val="BodyText"/>
              <w:rPr>
                <w:lang w:val="en-NZ"/>
              </w:rPr>
            </w:pPr>
            <w:r w:rsidRPr="00EF6CC7">
              <w:rPr>
                <w:rStyle w:val="SpecialBold"/>
              </w:rPr>
              <w:t>Undertake maintenance checks of mechanical drives and mechanical transmission components</w:t>
            </w:r>
          </w:p>
        </w:tc>
        <w:tc>
          <w:tcPr>
            <w:tcW w:w="775" w:type="dxa"/>
            <w:tcBorders>
              <w:top w:val="nil"/>
              <w:left w:val="nil"/>
              <w:bottom w:val="nil"/>
              <w:right w:val="nil"/>
            </w:tcBorders>
            <w:tcMar>
              <w:top w:w="0" w:type="dxa"/>
              <w:left w:w="62" w:type="dxa"/>
              <w:bottom w:w="0" w:type="dxa"/>
              <w:right w:w="62" w:type="dxa"/>
            </w:tcMar>
          </w:tcPr>
          <w:p w:rsidR="00000000" w:rsidP="00EF6CC7">
            <w:pPr>
              <w:pStyle w:val="BodyText"/>
              <w:rPr>
                <w:lang w:val="en-NZ"/>
              </w:rPr>
            </w:pPr>
            <w:r w:rsidRPr="00EF6CC7">
              <w:t>2.1</w:t>
            </w:r>
          </w:p>
        </w:tc>
        <w:tc>
          <w:tcPr>
            <w:tcW w:w="5641" w:type="dxa"/>
            <w:tcBorders>
              <w:top w:val="nil"/>
              <w:left w:val="nil"/>
              <w:bottom w:val="nil"/>
              <w:right w:val="nil"/>
            </w:tcBorders>
            <w:tcMar>
              <w:top w:w="0" w:type="dxa"/>
              <w:left w:w="62" w:type="dxa"/>
              <w:bottom w:w="0" w:type="dxa"/>
              <w:right w:w="62" w:type="dxa"/>
            </w:tcMar>
          </w:tcPr>
          <w:p w:rsidR="00000000" w:rsidP="00EF6CC7">
            <w:pPr>
              <w:pStyle w:val="BodyText"/>
              <w:rPr>
                <w:lang w:val="en-NZ"/>
              </w:rPr>
            </w:pPr>
            <w:r w:rsidRPr="00EF6CC7">
              <w:t xml:space="preserve">Apply principles of mechanical drives, mechanical transmission components and the function of the main parts of the designated mechanical drive/transmission assembly to undertake maintenance checks </w:t>
            </w:r>
          </w:p>
        </w:tc>
      </w:tr>
      <w:tr w:rsidTr="00EF6CC7">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EF6CC7">
            <w:pPr>
              <w:pStyle w:val="BodyText"/>
              <w:rPr>
                <w:lang w:val="en-NZ"/>
              </w:rPr>
            </w:pPr>
            <w:r w:rsidRPr="00EF6CC7">
              <w:t>2.2</w:t>
            </w:r>
          </w:p>
        </w:tc>
        <w:tc>
          <w:tcPr>
            <w:tcW w:w="5641" w:type="dxa"/>
            <w:tcBorders>
              <w:top w:val="nil"/>
              <w:left w:val="nil"/>
              <w:bottom w:val="nil"/>
              <w:right w:val="nil"/>
            </w:tcBorders>
            <w:tcMar>
              <w:top w:w="0" w:type="dxa"/>
              <w:left w:w="62" w:type="dxa"/>
              <w:bottom w:w="0" w:type="dxa"/>
              <w:right w:w="62" w:type="dxa"/>
            </w:tcMar>
          </w:tcPr>
          <w:p w:rsidR="00000000" w:rsidP="00EF6CC7">
            <w:pPr>
              <w:pStyle w:val="BodyText"/>
              <w:rPr>
                <w:lang w:val="en-NZ"/>
              </w:rPr>
            </w:pPr>
            <w:r w:rsidRPr="00EF6CC7">
              <w:t>Check mechanical drive/transmission components for</w:t>
            </w:r>
            <w:r w:rsidRPr="00EF6CC7">
              <w:t xml:space="preserve"> wear, distortion, tensions, misalignment, fatigue, lubrication, slackness, tooth wear, breakages and other </w:t>
            </w:r>
            <w:r w:rsidRPr="00EF6CC7">
              <w:t>related malfunctions using appropriate maintenance principles, techniques, tools and equipment</w:t>
            </w:r>
          </w:p>
        </w:tc>
      </w:tr>
      <w:tr w:rsidTr="00EF6CC7">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EF6CC7">
            <w:pPr>
              <w:pStyle w:val="BodyText"/>
              <w:rPr>
                <w:lang w:val="en-NZ"/>
              </w:rPr>
            </w:pPr>
            <w:r w:rsidRPr="00EF6CC7">
              <w:t>2.3</w:t>
            </w:r>
          </w:p>
        </w:tc>
        <w:tc>
          <w:tcPr>
            <w:tcW w:w="5641" w:type="dxa"/>
            <w:tcBorders>
              <w:top w:val="nil"/>
              <w:left w:val="nil"/>
              <w:bottom w:val="nil"/>
              <w:right w:val="nil"/>
            </w:tcBorders>
            <w:tcMar>
              <w:top w:w="0" w:type="dxa"/>
              <w:left w:w="62" w:type="dxa"/>
              <w:bottom w:w="0" w:type="dxa"/>
              <w:right w:w="62" w:type="dxa"/>
            </w:tcMar>
          </w:tcPr>
          <w:p w:rsidR="00000000" w:rsidP="00EF6CC7">
            <w:pPr>
              <w:pStyle w:val="BodyText"/>
              <w:rPr>
                <w:lang w:val="en-NZ"/>
              </w:rPr>
            </w:pPr>
            <w:r w:rsidRPr="00EF6CC7">
              <w:t>Identify assembly requiring further diagnosis,</w:t>
            </w:r>
            <w:r w:rsidRPr="00EF6CC7">
              <w:t xml:space="preserve"> repair or adjustment and document findings</w:t>
            </w:r>
          </w:p>
        </w:tc>
      </w:tr>
      <w:tr w:rsidTr="00EF6CC7">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EF6CC7">
            <w:pPr>
              <w:pStyle w:val="BodyText"/>
              <w:rPr>
                <w:lang w:val="en-NZ"/>
              </w:rPr>
            </w:pPr>
          </w:p>
        </w:tc>
      </w:tr>
      <w:tr w:rsidTr="00EF6CC7">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EF6CC7" w:rsidP="00EF6CC7">
            <w:pPr>
              <w:pStyle w:val="BodyText"/>
            </w:pPr>
            <w:r w:rsidRPr="00EF6CC7">
              <w:t>3</w:t>
            </w:r>
          </w:p>
        </w:tc>
        <w:tc>
          <w:tcPr>
            <w:tcW w:w="1974" w:type="dxa"/>
            <w:vMerge w:val="restart"/>
            <w:tcBorders>
              <w:top w:val="nil"/>
              <w:left w:val="nil"/>
              <w:bottom w:val="nil"/>
              <w:right w:val="nil"/>
            </w:tcBorders>
            <w:tcMar>
              <w:top w:w="0" w:type="dxa"/>
              <w:left w:w="62" w:type="dxa"/>
              <w:bottom w:w="0" w:type="dxa"/>
              <w:right w:w="62" w:type="dxa"/>
            </w:tcMar>
          </w:tcPr>
          <w:p w:rsidR="00000000" w:rsidP="00EF6CC7">
            <w:pPr>
              <w:pStyle w:val="BodyText"/>
              <w:rPr>
                <w:lang w:val="en-NZ"/>
              </w:rPr>
            </w:pPr>
            <w:r w:rsidRPr="00EF6CC7">
              <w:rPr>
                <w:rStyle w:val="SpecialBold"/>
              </w:rPr>
              <w:t>Adjust mechanical drives and transmission assemblies</w:t>
            </w:r>
          </w:p>
        </w:tc>
        <w:tc>
          <w:tcPr>
            <w:tcW w:w="775" w:type="dxa"/>
            <w:tcBorders>
              <w:top w:val="nil"/>
              <w:left w:val="nil"/>
              <w:bottom w:val="nil"/>
              <w:right w:val="nil"/>
            </w:tcBorders>
            <w:tcMar>
              <w:top w:w="0" w:type="dxa"/>
              <w:left w:w="62" w:type="dxa"/>
              <w:bottom w:w="0" w:type="dxa"/>
              <w:right w:w="62" w:type="dxa"/>
            </w:tcMar>
          </w:tcPr>
          <w:p w:rsidR="00000000" w:rsidP="00EF6CC7">
            <w:pPr>
              <w:pStyle w:val="BodyText"/>
              <w:rPr>
                <w:lang w:val="en-NZ"/>
              </w:rPr>
            </w:pPr>
            <w:r w:rsidRPr="00EF6CC7">
              <w:t>3.1</w:t>
            </w:r>
          </w:p>
        </w:tc>
        <w:tc>
          <w:tcPr>
            <w:tcW w:w="5641" w:type="dxa"/>
            <w:tcBorders>
              <w:top w:val="nil"/>
              <w:left w:val="nil"/>
              <w:bottom w:val="nil"/>
              <w:right w:val="nil"/>
            </w:tcBorders>
            <w:tcMar>
              <w:top w:w="0" w:type="dxa"/>
              <w:left w:w="62" w:type="dxa"/>
              <w:bottom w:w="0" w:type="dxa"/>
              <w:right w:w="62" w:type="dxa"/>
            </w:tcMar>
          </w:tcPr>
          <w:p w:rsidR="00000000" w:rsidP="00EF6CC7">
            <w:pPr>
              <w:pStyle w:val="BodyText"/>
              <w:rPr>
                <w:lang w:val="en-NZ"/>
              </w:rPr>
            </w:pPr>
            <w:r w:rsidRPr="00EF6CC7">
              <w:t>Determine a suit</w:t>
            </w:r>
            <w:r w:rsidRPr="00EF6CC7">
              <w:t>able adjustment method and requirements from manufacturers</w:t>
            </w:r>
            <w:r>
              <w:t>’</w:t>
            </w:r>
            <w:r w:rsidRPr="00EF6CC7">
              <w:t xml:space="preserve"> instruction sheets, standard workshop manuals/procedures or similar means</w:t>
            </w:r>
          </w:p>
        </w:tc>
      </w:tr>
      <w:tr w:rsidTr="00EF6CC7">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EF6CC7">
            <w:pPr>
              <w:pStyle w:val="BodyText"/>
              <w:rPr>
                <w:lang w:val="en-NZ"/>
              </w:rPr>
            </w:pPr>
            <w:r w:rsidRPr="00EF6CC7">
              <w:t>3.2</w:t>
            </w:r>
          </w:p>
        </w:tc>
        <w:tc>
          <w:tcPr>
            <w:tcW w:w="5641" w:type="dxa"/>
            <w:tcBorders>
              <w:top w:val="nil"/>
              <w:left w:val="nil"/>
              <w:bottom w:val="nil"/>
              <w:right w:val="nil"/>
            </w:tcBorders>
            <w:tcMar>
              <w:top w:w="0" w:type="dxa"/>
              <w:left w:w="62" w:type="dxa"/>
              <w:bottom w:w="0" w:type="dxa"/>
              <w:right w:w="62" w:type="dxa"/>
            </w:tcMar>
          </w:tcPr>
          <w:p w:rsidR="00000000" w:rsidP="00EF6CC7">
            <w:pPr>
              <w:pStyle w:val="BodyText"/>
              <w:rPr>
                <w:lang w:val="en-NZ"/>
              </w:rPr>
            </w:pPr>
            <w:r w:rsidRPr="00EF6CC7">
              <w:t>Select adjustment tools and equipment according to the type of assembly being serviced</w:t>
            </w:r>
          </w:p>
        </w:tc>
      </w:tr>
      <w:tr w:rsidTr="00EF6CC7">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EF6CC7">
            <w:pPr>
              <w:pStyle w:val="BodyText"/>
              <w:rPr>
                <w:lang w:val="en-NZ"/>
              </w:rPr>
            </w:pPr>
            <w:r w:rsidRPr="00EF6CC7">
              <w:t>3.3</w:t>
            </w:r>
          </w:p>
        </w:tc>
        <w:tc>
          <w:tcPr>
            <w:tcW w:w="5641" w:type="dxa"/>
            <w:tcBorders>
              <w:top w:val="nil"/>
              <w:left w:val="nil"/>
              <w:bottom w:val="nil"/>
              <w:right w:val="nil"/>
            </w:tcBorders>
            <w:tcMar>
              <w:top w:w="0" w:type="dxa"/>
              <w:left w:w="62" w:type="dxa"/>
              <w:bottom w:w="0" w:type="dxa"/>
              <w:right w:w="62" w:type="dxa"/>
            </w:tcMar>
          </w:tcPr>
          <w:p w:rsidR="00000000" w:rsidP="00EF6CC7">
            <w:pPr>
              <w:pStyle w:val="BodyText"/>
              <w:rPr>
                <w:lang w:val="en-NZ"/>
              </w:rPr>
            </w:pPr>
            <w:r w:rsidRPr="00EF6CC7">
              <w:t>Tension, align, balance or adjust drives/transmission components to manufacturers</w:t>
            </w:r>
            <w:r>
              <w:t>’</w:t>
            </w:r>
            <w:r w:rsidRPr="00EF6CC7">
              <w:t>/site specifications</w:t>
            </w:r>
          </w:p>
        </w:tc>
      </w:tr>
      <w:tr w:rsidTr="00EF6CC7">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EF6CC7">
            <w:pPr>
              <w:pStyle w:val="BodyText"/>
              <w:rPr>
                <w:lang w:val="en-NZ"/>
              </w:rPr>
            </w:pPr>
            <w:r w:rsidRPr="00EF6CC7">
              <w:t>3.4</w:t>
            </w:r>
          </w:p>
        </w:tc>
        <w:tc>
          <w:tcPr>
            <w:tcW w:w="5641" w:type="dxa"/>
            <w:tcBorders>
              <w:top w:val="nil"/>
              <w:left w:val="nil"/>
              <w:bottom w:val="nil"/>
              <w:right w:val="nil"/>
            </w:tcBorders>
            <w:tcMar>
              <w:top w:w="0" w:type="dxa"/>
              <w:left w:w="62" w:type="dxa"/>
              <w:bottom w:w="0" w:type="dxa"/>
              <w:right w:w="62" w:type="dxa"/>
            </w:tcMar>
          </w:tcPr>
          <w:p w:rsidR="00000000" w:rsidP="00EF6CC7">
            <w:pPr>
              <w:pStyle w:val="BodyText"/>
              <w:rPr>
                <w:lang w:val="en-NZ"/>
              </w:rPr>
            </w:pPr>
            <w:r w:rsidRPr="00EF6CC7">
              <w:t>Check drive/transmission assembly after adjustment for correct operation or identify for further diagnosis or repair</w:t>
            </w:r>
          </w:p>
        </w:tc>
      </w:tr>
      <w:tr w:rsidTr="00EF6CC7">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EF6CC7">
            <w:pPr>
              <w:pStyle w:val="BodyText"/>
              <w:rPr>
                <w:lang w:val="en-NZ"/>
              </w:rPr>
            </w:pPr>
            <w:r w:rsidRPr="00EF6CC7">
              <w:t>3.5</w:t>
            </w:r>
          </w:p>
        </w:tc>
        <w:tc>
          <w:tcPr>
            <w:tcW w:w="5641" w:type="dxa"/>
            <w:tcBorders>
              <w:top w:val="nil"/>
              <w:left w:val="nil"/>
              <w:bottom w:val="nil"/>
              <w:right w:val="nil"/>
            </w:tcBorders>
            <w:tcMar>
              <w:top w:w="0" w:type="dxa"/>
              <w:left w:w="62" w:type="dxa"/>
              <w:bottom w:w="0" w:type="dxa"/>
              <w:right w:w="62" w:type="dxa"/>
            </w:tcMar>
          </w:tcPr>
          <w:p w:rsidR="00000000" w:rsidP="00EF6CC7">
            <w:pPr>
              <w:pStyle w:val="BodyText"/>
              <w:rPr>
                <w:lang w:val="en-NZ"/>
              </w:rPr>
            </w:pPr>
            <w:r w:rsidRPr="00EF6CC7">
              <w:t>Complete service repor</w:t>
            </w:r>
            <w:r w:rsidRPr="00EF6CC7">
              <w:t>t</w:t>
            </w:r>
          </w:p>
        </w:tc>
      </w:tr>
      <w:tr w:rsidTr="00EF6CC7">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EF6CC7">
            <w:pPr>
              <w:pStyle w:val="BodyText"/>
              <w:rPr>
                <w:lang w:val="en-NZ"/>
              </w:rPr>
            </w:pPr>
            <w:r w:rsidRPr="00EF6CC7">
              <w:t>3.6</w:t>
            </w:r>
          </w:p>
        </w:tc>
        <w:tc>
          <w:tcPr>
            <w:tcW w:w="5641" w:type="dxa"/>
            <w:tcBorders>
              <w:top w:val="nil"/>
              <w:left w:val="nil"/>
              <w:bottom w:val="nil"/>
              <w:right w:val="nil"/>
            </w:tcBorders>
            <w:tcMar>
              <w:top w:w="0" w:type="dxa"/>
              <w:left w:w="62" w:type="dxa"/>
              <w:bottom w:w="0" w:type="dxa"/>
              <w:right w:w="62" w:type="dxa"/>
            </w:tcMar>
          </w:tcPr>
          <w:p w:rsidR="00000000" w:rsidP="00EF6CC7">
            <w:pPr>
              <w:pStyle w:val="BodyText"/>
              <w:rPr>
                <w:lang w:val="en-NZ"/>
              </w:rPr>
            </w:pPr>
            <w:r w:rsidRPr="00EF6CC7">
              <w:t xml:space="preserve">Action further diagnosis or repair requirements </w:t>
            </w:r>
          </w:p>
        </w:tc>
      </w:tr>
      <w:tr w:rsidTr="00EF6CC7">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EF6CC7">
            <w:pPr>
              <w:pStyle w:val="BodyText"/>
              <w:rPr>
                <w:lang w:val="en-NZ"/>
              </w:rPr>
            </w:pPr>
          </w:p>
        </w:tc>
      </w:tr>
      <w:tr w:rsidTr="00EF6CC7">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EF6CC7" w:rsidP="00EF6CC7">
            <w:pPr>
              <w:pStyle w:val="BodyText"/>
            </w:pPr>
            <w:r w:rsidRPr="00EF6CC7">
              <w:t>4</w:t>
            </w:r>
          </w:p>
        </w:tc>
        <w:tc>
          <w:tcPr>
            <w:tcW w:w="1974" w:type="dxa"/>
            <w:vMerge w:val="restart"/>
            <w:tcBorders>
              <w:top w:val="nil"/>
              <w:left w:val="nil"/>
              <w:bottom w:val="nil"/>
              <w:right w:val="nil"/>
            </w:tcBorders>
            <w:tcMar>
              <w:top w:w="0" w:type="dxa"/>
              <w:left w:w="62" w:type="dxa"/>
              <w:bottom w:w="0" w:type="dxa"/>
              <w:right w:w="62" w:type="dxa"/>
            </w:tcMar>
          </w:tcPr>
          <w:p w:rsidR="00000000" w:rsidP="00EF6CC7">
            <w:pPr>
              <w:pStyle w:val="BodyText"/>
              <w:rPr>
                <w:lang w:val="en-NZ"/>
              </w:rPr>
            </w:pPr>
            <w:r w:rsidRPr="00EF6CC7">
              <w:rPr>
                <w:rStyle w:val="SpecialBold"/>
              </w:rPr>
              <w:t>Diagnose faults</w:t>
            </w:r>
          </w:p>
        </w:tc>
        <w:tc>
          <w:tcPr>
            <w:tcW w:w="775" w:type="dxa"/>
            <w:tcBorders>
              <w:top w:val="nil"/>
              <w:left w:val="nil"/>
              <w:bottom w:val="nil"/>
              <w:right w:val="nil"/>
            </w:tcBorders>
            <w:tcMar>
              <w:top w:w="0" w:type="dxa"/>
              <w:left w:w="62" w:type="dxa"/>
              <w:bottom w:w="0" w:type="dxa"/>
              <w:right w:w="62" w:type="dxa"/>
            </w:tcMar>
          </w:tcPr>
          <w:p w:rsidR="00000000" w:rsidP="00EF6CC7">
            <w:pPr>
              <w:pStyle w:val="BodyText"/>
              <w:rPr>
                <w:lang w:val="en-NZ"/>
              </w:rPr>
            </w:pPr>
            <w:r w:rsidRPr="00EF6CC7">
              <w:t>4.1</w:t>
            </w:r>
          </w:p>
        </w:tc>
        <w:tc>
          <w:tcPr>
            <w:tcW w:w="5641" w:type="dxa"/>
            <w:tcBorders>
              <w:top w:val="nil"/>
              <w:left w:val="nil"/>
              <w:bottom w:val="nil"/>
              <w:right w:val="nil"/>
            </w:tcBorders>
            <w:tcMar>
              <w:top w:w="0" w:type="dxa"/>
              <w:left w:w="62" w:type="dxa"/>
              <w:bottom w:w="0" w:type="dxa"/>
              <w:right w:w="62" w:type="dxa"/>
            </w:tcMar>
          </w:tcPr>
          <w:p w:rsidR="00000000" w:rsidP="00EF6CC7">
            <w:pPr>
              <w:pStyle w:val="BodyText"/>
              <w:rPr>
                <w:lang w:val="en-NZ"/>
              </w:rPr>
            </w:pPr>
            <w:r w:rsidRPr="00EF6CC7">
              <w:t>Read service reports and undertake visual and sensory inspection of the drive/transmission assembly</w:t>
            </w:r>
          </w:p>
        </w:tc>
      </w:tr>
      <w:tr w:rsidTr="00EF6CC7">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EF6CC7">
            <w:pPr>
              <w:pStyle w:val="BodyText"/>
              <w:rPr>
                <w:lang w:val="en-NZ"/>
              </w:rPr>
            </w:pPr>
            <w:r w:rsidRPr="00EF6CC7">
              <w:t>4.2</w:t>
            </w:r>
          </w:p>
        </w:tc>
        <w:tc>
          <w:tcPr>
            <w:tcW w:w="5641" w:type="dxa"/>
            <w:tcBorders>
              <w:top w:val="nil"/>
              <w:left w:val="nil"/>
              <w:bottom w:val="nil"/>
              <w:right w:val="nil"/>
            </w:tcBorders>
            <w:tcMar>
              <w:top w:w="0" w:type="dxa"/>
              <w:left w:w="62" w:type="dxa"/>
              <w:bottom w:w="0" w:type="dxa"/>
              <w:right w:w="62" w:type="dxa"/>
            </w:tcMar>
          </w:tcPr>
          <w:p w:rsidR="00000000" w:rsidP="00EF6CC7">
            <w:pPr>
              <w:pStyle w:val="BodyText"/>
              <w:rPr>
                <w:lang w:val="en-NZ"/>
              </w:rPr>
            </w:pPr>
            <w:r w:rsidRPr="00EF6CC7">
              <w:t>Test diagnostic equipment drive/transmission assembly to manufacturers</w:t>
            </w:r>
            <w:r>
              <w:t>’</w:t>
            </w:r>
            <w:r w:rsidRPr="00EF6CC7">
              <w:t xml:space="preserve"> specifications, where applicable</w:t>
            </w:r>
          </w:p>
        </w:tc>
      </w:tr>
      <w:tr w:rsidTr="00EF6CC7">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EF6CC7">
            <w:pPr>
              <w:pStyle w:val="BodyText"/>
              <w:rPr>
                <w:lang w:val="en-NZ"/>
              </w:rPr>
            </w:pPr>
            <w:r w:rsidRPr="00EF6CC7">
              <w:t>4.3</w:t>
            </w:r>
          </w:p>
        </w:tc>
        <w:tc>
          <w:tcPr>
            <w:tcW w:w="5641" w:type="dxa"/>
            <w:tcBorders>
              <w:top w:val="nil"/>
              <w:left w:val="nil"/>
              <w:bottom w:val="nil"/>
              <w:right w:val="nil"/>
            </w:tcBorders>
            <w:tcMar>
              <w:top w:w="0" w:type="dxa"/>
              <w:left w:w="62" w:type="dxa"/>
              <w:bottom w:w="0" w:type="dxa"/>
              <w:right w:w="62" w:type="dxa"/>
            </w:tcMar>
          </w:tcPr>
          <w:p w:rsidR="00000000" w:rsidP="00EF6CC7">
            <w:pPr>
              <w:pStyle w:val="BodyText"/>
              <w:rPr>
                <w:lang w:val="en-NZ"/>
              </w:rPr>
            </w:pPr>
            <w:r w:rsidRPr="00EF6CC7">
              <w:t>Localise faults at the component level and identify for repair or replacement</w:t>
            </w:r>
          </w:p>
        </w:tc>
      </w:tr>
      <w:tr w:rsidTr="00EF6CC7">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EF6CC7">
            <w:pPr>
              <w:pStyle w:val="BodyText"/>
              <w:rPr>
                <w:lang w:val="en-NZ"/>
              </w:rPr>
            </w:pPr>
            <w:r w:rsidRPr="00EF6CC7">
              <w:t>4.4</w:t>
            </w:r>
          </w:p>
        </w:tc>
        <w:tc>
          <w:tcPr>
            <w:tcW w:w="5641" w:type="dxa"/>
            <w:tcBorders>
              <w:top w:val="nil"/>
              <w:left w:val="nil"/>
              <w:bottom w:val="nil"/>
              <w:right w:val="nil"/>
            </w:tcBorders>
            <w:tcMar>
              <w:top w:w="0" w:type="dxa"/>
              <w:left w:w="62" w:type="dxa"/>
              <w:bottom w:w="0" w:type="dxa"/>
              <w:right w:w="62" w:type="dxa"/>
            </w:tcMar>
          </w:tcPr>
          <w:p w:rsidR="00000000" w:rsidP="00EF6CC7">
            <w:pPr>
              <w:pStyle w:val="BodyText"/>
              <w:rPr>
                <w:lang w:val="en-NZ"/>
              </w:rPr>
            </w:pPr>
            <w:r w:rsidRPr="00EF6CC7">
              <w:t>Analyse fault causes and develop preventative measures to avoid re-occurrence, document and action by appropriate means</w:t>
            </w:r>
          </w:p>
        </w:tc>
      </w:tr>
      <w:tr w:rsidTr="00EF6CC7">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EF6CC7">
            <w:pPr>
              <w:pStyle w:val="BodyText"/>
              <w:rPr>
                <w:lang w:val="en-NZ"/>
              </w:rPr>
            </w:pPr>
            <w:r w:rsidRPr="00EF6CC7">
              <w:t>4.5</w:t>
            </w:r>
          </w:p>
        </w:tc>
        <w:tc>
          <w:tcPr>
            <w:tcW w:w="5641" w:type="dxa"/>
            <w:tcBorders>
              <w:top w:val="nil"/>
              <w:left w:val="nil"/>
              <w:bottom w:val="nil"/>
              <w:right w:val="nil"/>
            </w:tcBorders>
            <w:tcMar>
              <w:top w:w="0" w:type="dxa"/>
              <w:left w:w="62" w:type="dxa"/>
              <w:bottom w:w="0" w:type="dxa"/>
              <w:right w:w="62" w:type="dxa"/>
            </w:tcMar>
          </w:tcPr>
          <w:p w:rsidR="00000000" w:rsidP="00EF6CC7">
            <w:pPr>
              <w:pStyle w:val="BodyText"/>
              <w:rPr>
                <w:lang w:val="en-NZ"/>
              </w:rPr>
            </w:pPr>
            <w:r w:rsidRPr="00EF6CC7">
              <w:t>Action requirements for repair or replacement</w:t>
            </w:r>
          </w:p>
        </w:tc>
      </w:tr>
      <w:tr w:rsidTr="00EF6CC7">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EF6CC7">
            <w:pPr>
              <w:pStyle w:val="BodyText"/>
              <w:rPr>
                <w:lang w:val="en-NZ"/>
              </w:rPr>
            </w:pPr>
          </w:p>
        </w:tc>
      </w:tr>
      <w:tr w:rsidTr="00EF6CC7">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EF6CC7" w:rsidP="00EF6CC7">
            <w:pPr>
              <w:pStyle w:val="BodyText"/>
            </w:pPr>
            <w:r w:rsidRPr="00EF6CC7">
              <w:t>5</w:t>
            </w:r>
          </w:p>
        </w:tc>
        <w:tc>
          <w:tcPr>
            <w:tcW w:w="1974" w:type="dxa"/>
            <w:vMerge w:val="restart"/>
            <w:tcBorders>
              <w:top w:val="nil"/>
              <w:left w:val="nil"/>
              <w:bottom w:val="nil"/>
              <w:right w:val="nil"/>
            </w:tcBorders>
            <w:tcMar>
              <w:top w:w="0" w:type="dxa"/>
              <w:left w:w="62" w:type="dxa"/>
              <w:bottom w:w="0" w:type="dxa"/>
              <w:right w:w="62" w:type="dxa"/>
            </w:tcMar>
          </w:tcPr>
          <w:p w:rsidR="00000000" w:rsidP="00EF6CC7">
            <w:pPr>
              <w:pStyle w:val="BodyText"/>
              <w:rPr>
                <w:lang w:val="en-NZ"/>
              </w:rPr>
            </w:pPr>
            <w:r w:rsidRPr="00EF6CC7">
              <w:rPr>
                <w:rStyle w:val="SpecialBold"/>
              </w:rPr>
              <w:t>Repair mechanical drives/ transmission assemblies</w:t>
            </w:r>
          </w:p>
        </w:tc>
        <w:tc>
          <w:tcPr>
            <w:tcW w:w="775" w:type="dxa"/>
            <w:tcBorders>
              <w:top w:val="nil"/>
              <w:left w:val="nil"/>
              <w:bottom w:val="nil"/>
              <w:right w:val="nil"/>
            </w:tcBorders>
            <w:tcMar>
              <w:top w:w="0" w:type="dxa"/>
              <w:left w:w="62" w:type="dxa"/>
              <w:bottom w:w="0" w:type="dxa"/>
              <w:right w:w="62" w:type="dxa"/>
            </w:tcMar>
          </w:tcPr>
          <w:p w:rsidR="00000000" w:rsidP="00EF6CC7">
            <w:pPr>
              <w:pStyle w:val="BodyText"/>
              <w:rPr>
                <w:lang w:val="en-NZ"/>
              </w:rPr>
            </w:pPr>
            <w:r w:rsidRPr="00EF6CC7">
              <w:t>5.1</w:t>
            </w:r>
          </w:p>
        </w:tc>
        <w:tc>
          <w:tcPr>
            <w:tcW w:w="5641" w:type="dxa"/>
            <w:tcBorders>
              <w:top w:val="nil"/>
              <w:left w:val="nil"/>
              <w:bottom w:val="nil"/>
              <w:right w:val="nil"/>
            </w:tcBorders>
            <w:tcMar>
              <w:top w:w="0" w:type="dxa"/>
              <w:left w:w="62" w:type="dxa"/>
              <w:bottom w:w="0" w:type="dxa"/>
              <w:right w:w="62" w:type="dxa"/>
            </w:tcMar>
          </w:tcPr>
          <w:p w:rsidR="00000000" w:rsidP="00EF6CC7">
            <w:pPr>
              <w:pStyle w:val="BodyText"/>
              <w:rPr>
                <w:lang w:val="en-NZ"/>
              </w:rPr>
            </w:pPr>
            <w:r w:rsidRPr="00EF6CC7">
              <w:t>Ascertain task requirements</w:t>
            </w:r>
          </w:p>
        </w:tc>
      </w:tr>
      <w:tr w:rsidTr="00EF6CC7">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EF6CC7">
            <w:pPr>
              <w:pStyle w:val="BodyText"/>
              <w:rPr>
                <w:lang w:val="en-NZ"/>
              </w:rPr>
            </w:pPr>
            <w:r w:rsidRPr="00EF6CC7">
              <w:t>5.2</w:t>
            </w:r>
          </w:p>
        </w:tc>
        <w:tc>
          <w:tcPr>
            <w:tcW w:w="5641" w:type="dxa"/>
            <w:tcBorders>
              <w:top w:val="nil"/>
              <w:left w:val="nil"/>
              <w:bottom w:val="nil"/>
              <w:right w:val="nil"/>
            </w:tcBorders>
            <w:tcMar>
              <w:top w:w="0" w:type="dxa"/>
              <w:left w:w="62" w:type="dxa"/>
              <w:bottom w:w="0" w:type="dxa"/>
              <w:right w:w="62" w:type="dxa"/>
            </w:tcMar>
          </w:tcPr>
          <w:p w:rsidR="00000000" w:rsidP="00EF6CC7">
            <w:pPr>
              <w:pStyle w:val="BodyText"/>
              <w:rPr>
                <w:lang w:val="en-NZ"/>
              </w:rPr>
            </w:pPr>
            <w:r w:rsidRPr="00EF6CC7">
              <w:t>Select tools and equipment according to the type of assembly being serviced</w:t>
            </w:r>
          </w:p>
        </w:tc>
      </w:tr>
      <w:tr w:rsidTr="00EF6CC7">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EF6CC7">
            <w:pPr>
              <w:pStyle w:val="BodyText"/>
              <w:rPr>
                <w:lang w:val="en-NZ"/>
              </w:rPr>
            </w:pPr>
            <w:r w:rsidRPr="00EF6CC7">
              <w:t>5.3</w:t>
            </w:r>
          </w:p>
        </w:tc>
        <w:tc>
          <w:tcPr>
            <w:tcW w:w="5641" w:type="dxa"/>
            <w:tcBorders>
              <w:top w:val="nil"/>
              <w:left w:val="nil"/>
              <w:bottom w:val="nil"/>
              <w:right w:val="nil"/>
            </w:tcBorders>
            <w:tcMar>
              <w:top w:w="0" w:type="dxa"/>
              <w:left w:w="62" w:type="dxa"/>
              <w:bottom w:w="0" w:type="dxa"/>
              <w:right w:w="62" w:type="dxa"/>
            </w:tcMar>
          </w:tcPr>
          <w:p w:rsidR="00000000" w:rsidP="00EF6CC7">
            <w:pPr>
              <w:pStyle w:val="BodyText"/>
              <w:rPr>
                <w:lang w:val="en-NZ"/>
              </w:rPr>
            </w:pPr>
            <w:r w:rsidRPr="00EF6CC7">
              <w:t>Dismantle mechanical drive/transmission using appropriate maintenance principles, techniques, tools, equipment and safe workshop practices</w:t>
            </w:r>
          </w:p>
        </w:tc>
      </w:tr>
      <w:tr w:rsidTr="00EF6CC7">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EF6CC7">
            <w:pPr>
              <w:pStyle w:val="BodyText"/>
              <w:rPr>
                <w:lang w:val="en-NZ"/>
              </w:rPr>
            </w:pPr>
            <w:r w:rsidRPr="00EF6CC7">
              <w:t>5.4</w:t>
            </w:r>
          </w:p>
        </w:tc>
        <w:tc>
          <w:tcPr>
            <w:tcW w:w="5641" w:type="dxa"/>
            <w:tcBorders>
              <w:top w:val="nil"/>
              <w:left w:val="nil"/>
              <w:bottom w:val="nil"/>
              <w:right w:val="nil"/>
            </w:tcBorders>
            <w:tcMar>
              <w:top w:w="0" w:type="dxa"/>
              <w:left w:w="62" w:type="dxa"/>
              <w:bottom w:w="0" w:type="dxa"/>
              <w:right w:w="62" w:type="dxa"/>
            </w:tcMar>
          </w:tcPr>
          <w:p w:rsidR="00000000" w:rsidP="00EF6CC7">
            <w:pPr>
              <w:pStyle w:val="BodyText"/>
              <w:rPr>
                <w:lang w:val="en-NZ"/>
              </w:rPr>
            </w:pPr>
            <w:r w:rsidRPr="00EF6CC7">
              <w:t>Repair serviceable items to manufacturers</w:t>
            </w:r>
            <w:r>
              <w:t>’</w:t>
            </w:r>
            <w:r w:rsidRPr="00EF6CC7">
              <w:t xml:space="preserve"> specifications and standard workshop practices</w:t>
            </w:r>
          </w:p>
        </w:tc>
      </w:tr>
      <w:tr w:rsidTr="00EF6CC7">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EF6CC7">
            <w:pPr>
              <w:pStyle w:val="BodyText"/>
              <w:rPr>
                <w:lang w:val="en-NZ"/>
              </w:rPr>
            </w:pPr>
            <w:r w:rsidRPr="00EF6CC7">
              <w:t>5.5</w:t>
            </w:r>
          </w:p>
        </w:tc>
        <w:tc>
          <w:tcPr>
            <w:tcW w:w="5641" w:type="dxa"/>
            <w:tcBorders>
              <w:top w:val="nil"/>
              <w:left w:val="nil"/>
              <w:bottom w:val="nil"/>
              <w:right w:val="nil"/>
            </w:tcBorders>
            <w:tcMar>
              <w:top w:w="0" w:type="dxa"/>
              <w:left w:w="62" w:type="dxa"/>
              <w:bottom w:w="0" w:type="dxa"/>
              <w:right w:w="62" w:type="dxa"/>
            </w:tcMar>
          </w:tcPr>
          <w:p w:rsidR="00000000" w:rsidP="00EF6CC7">
            <w:pPr>
              <w:pStyle w:val="BodyText"/>
              <w:rPr>
                <w:lang w:val="en-NZ"/>
              </w:rPr>
            </w:pPr>
            <w:r w:rsidRPr="00EF6CC7">
              <w:t>Select and obtain standard replaceable items from appropriate resources</w:t>
            </w:r>
          </w:p>
        </w:tc>
      </w:tr>
      <w:tr w:rsidTr="00EF6CC7">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EF6CC7">
            <w:pPr>
              <w:pStyle w:val="BodyText"/>
              <w:rPr>
                <w:lang w:val="en-NZ"/>
              </w:rPr>
            </w:pPr>
            <w:r w:rsidRPr="00EF6CC7">
              <w:t>5.6</w:t>
            </w:r>
          </w:p>
        </w:tc>
        <w:tc>
          <w:tcPr>
            <w:tcW w:w="5641" w:type="dxa"/>
            <w:tcBorders>
              <w:top w:val="nil"/>
              <w:left w:val="nil"/>
              <w:bottom w:val="nil"/>
              <w:right w:val="nil"/>
            </w:tcBorders>
            <w:tcMar>
              <w:top w:w="0" w:type="dxa"/>
              <w:left w:w="62" w:type="dxa"/>
              <w:bottom w:w="0" w:type="dxa"/>
              <w:right w:w="62" w:type="dxa"/>
            </w:tcMar>
          </w:tcPr>
          <w:p w:rsidR="00000000" w:rsidP="00EF6CC7">
            <w:pPr>
              <w:pStyle w:val="BodyText"/>
              <w:rPr>
                <w:lang w:val="en-NZ"/>
              </w:rPr>
            </w:pPr>
            <w:r w:rsidRPr="00EF6CC7">
              <w:t>Re-fit component parts to mechanical drive/transmission assembly in acco</w:t>
            </w:r>
            <w:r w:rsidRPr="00EF6CC7">
              <w:t>rdance with manufacturers</w:t>
            </w:r>
            <w:r>
              <w:t>’</w:t>
            </w:r>
            <w:r w:rsidRPr="00EF6CC7">
              <w:t>/site specifications</w:t>
            </w:r>
          </w:p>
        </w:tc>
      </w:tr>
      <w:tr w:rsidTr="00EF6CC7">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EF6CC7">
            <w:pPr>
              <w:pStyle w:val="BodyText"/>
              <w:rPr>
                <w:lang w:val="en-NZ"/>
              </w:rPr>
            </w:pPr>
          </w:p>
        </w:tc>
      </w:tr>
      <w:tr w:rsidTr="00EF6CC7">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EF6CC7" w:rsidP="00EF6CC7">
            <w:pPr>
              <w:pStyle w:val="BodyText"/>
            </w:pPr>
            <w:r w:rsidRPr="00EF6CC7">
              <w:t>6</w:t>
            </w:r>
          </w:p>
        </w:tc>
        <w:tc>
          <w:tcPr>
            <w:tcW w:w="1974" w:type="dxa"/>
            <w:vMerge w:val="restart"/>
            <w:tcBorders>
              <w:top w:val="nil"/>
              <w:left w:val="nil"/>
              <w:bottom w:val="nil"/>
              <w:right w:val="nil"/>
            </w:tcBorders>
            <w:tcMar>
              <w:top w:w="0" w:type="dxa"/>
              <w:left w:w="62" w:type="dxa"/>
              <w:bottom w:w="0" w:type="dxa"/>
              <w:right w:w="62" w:type="dxa"/>
            </w:tcMar>
          </w:tcPr>
          <w:p w:rsidR="00000000" w:rsidP="00EF6CC7">
            <w:pPr>
              <w:pStyle w:val="BodyText"/>
              <w:rPr>
                <w:lang w:val="en-NZ"/>
              </w:rPr>
            </w:pPr>
            <w:r w:rsidRPr="00EF6CC7">
              <w:rPr>
                <w:rStyle w:val="SpecialBold"/>
              </w:rPr>
              <w:t>Undertake final adjustment and commissioning</w:t>
            </w:r>
          </w:p>
        </w:tc>
        <w:tc>
          <w:tcPr>
            <w:tcW w:w="775" w:type="dxa"/>
            <w:tcBorders>
              <w:top w:val="nil"/>
              <w:left w:val="nil"/>
              <w:bottom w:val="nil"/>
              <w:right w:val="nil"/>
            </w:tcBorders>
            <w:tcMar>
              <w:top w:w="0" w:type="dxa"/>
              <w:left w:w="62" w:type="dxa"/>
              <w:bottom w:w="0" w:type="dxa"/>
              <w:right w:w="62" w:type="dxa"/>
            </w:tcMar>
          </w:tcPr>
          <w:p w:rsidR="00000000" w:rsidP="00EF6CC7">
            <w:pPr>
              <w:pStyle w:val="BodyText"/>
              <w:rPr>
                <w:lang w:val="en-NZ"/>
              </w:rPr>
            </w:pPr>
            <w:r w:rsidRPr="00EF6CC7">
              <w:t>6.1</w:t>
            </w:r>
          </w:p>
        </w:tc>
        <w:tc>
          <w:tcPr>
            <w:tcW w:w="5641" w:type="dxa"/>
            <w:tcBorders>
              <w:top w:val="nil"/>
              <w:left w:val="nil"/>
              <w:bottom w:val="nil"/>
              <w:right w:val="nil"/>
            </w:tcBorders>
            <w:tcMar>
              <w:top w:w="0" w:type="dxa"/>
              <w:left w:w="62" w:type="dxa"/>
              <w:bottom w:w="0" w:type="dxa"/>
              <w:right w:w="62" w:type="dxa"/>
            </w:tcMar>
          </w:tcPr>
          <w:p w:rsidR="00000000" w:rsidP="00EF6CC7">
            <w:pPr>
              <w:pStyle w:val="BodyText"/>
              <w:rPr>
                <w:lang w:val="en-NZ"/>
              </w:rPr>
            </w:pPr>
            <w:r w:rsidRPr="00EF6CC7">
              <w:t>Tension, balance, align or adjust drive/transmission components to suit specifications and operational requirements</w:t>
            </w:r>
          </w:p>
        </w:tc>
      </w:tr>
      <w:tr w:rsidTr="00EF6CC7">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EF6CC7">
            <w:pPr>
              <w:pStyle w:val="BodyText"/>
              <w:rPr>
                <w:lang w:val="en-NZ"/>
              </w:rPr>
            </w:pPr>
            <w:r w:rsidRPr="00EF6CC7">
              <w:t>6.2</w:t>
            </w:r>
          </w:p>
        </w:tc>
        <w:tc>
          <w:tcPr>
            <w:tcW w:w="5641" w:type="dxa"/>
            <w:tcBorders>
              <w:top w:val="nil"/>
              <w:left w:val="nil"/>
              <w:bottom w:val="nil"/>
              <w:right w:val="nil"/>
            </w:tcBorders>
            <w:tcMar>
              <w:top w:w="0" w:type="dxa"/>
              <w:left w:w="62" w:type="dxa"/>
              <w:bottom w:w="0" w:type="dxa"/>
              <w:right w:w="62" w:type="dxa"/>
            </w:tcMar>
          </w:tcPr>
          <w:p w:rsidR="00000000" w:rsidP="00EF6CC7">
            <w:pPr>
              <w:pStyle w:val="BodyText"/>
              <w:rPr>
                <w:lang w:val="en-NZ"/>
              </w:rPr>
            </w:pPr>
            <w:r w:rsidRPr="00EF6CC7">
              <w:t>Check drive/transmission assembly after adjustment and operational performance is analysed</w:t>
            </w:r>
          </w:p>
        </w:tc>
      </w:tr>
      <w:tr w:rsidTr="00EF6CC7">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EF6CC7">
            <w:pPr>
              <w:pStyle w:val="BodyText"/>
              <w:rPr>
                <w:lang w:val="en-NZ"/>
              </w:rPr>
            </w:pPr>
            <w:r w:rsidRPr="00EF6CC7">
              <w:t>6.3</w:t>
            </w:r>
          </w:p>
        </w:tc>
        <w:tc>
          <w:tcPr>
            <w:tcW w:w="5641" w:type="dxa"/>
            <w:tcBorders>
              <w:top w:val="nil"/>
              <w:left w:val="nil"/>
              <w:bottom w:val="nil"/>
              <w:right w:val="nil"/>
            </w:tcBorders>
            <w:tcMar>
              <w:top w:w="0" w:type="dxa"/>
              <w:left w:w="62" w:type="dxa"/>
              <w:bottom w:w="0" w:type="dxa"/>
              <w:right w:w="62" w:type="dxa"/>
            </w:tcMar>
          </w:tcPr>
          <w:p w:rsidR="00000000" w:rsidP="00EF6CC7">
            <w:pPr>
              <w:pStyle w:val="BodyText"/>
              <w:rPr>
                <w:lang w:val="en-NZ"/>
              </w:rPr>
            </w:pPr>
            <w:r w:rsidRPr="00EF6CC7">
              <w:t>Commission assembly to specifications</w:t>
            </w:r>
          </w:p>
        </w:tc>
      </w:tr>
      <w:tr w:rsidTr="00EF6CC7">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EF6CC7">
            <w:pPr>
              <w:pStyle w:val="BodyText"/>
              <w:rPr>
                <w:lang w:val="en-NZ"/>
              </w:rPr>
            </w:pPr>
            <w:r w:rsidRPr="00EF6CC7">
              <w:t>6.4</w:t>
            </w:r>
          </w:p>
        </w:tc>
        <w:tc>
          <w:tcPr>
            <w:tcW w:w="5641" w:type="dxa"/>
            <w:tcBorders>
              <w:top w:val="nil"/>
              <w:left w:val="nil"/>
              <w:bottom w:val="nil"/>
              <w:right w:val="nil"/>
            </w:tcBorders>
            <w:tcMar>
              <w:top w:w="0" w:type="dxa"/>
              <w:left w:w="62" w:type="dxa"/>
              <w:bottom w:w="0" w:type="dxa"/>
              <w:right w:w="62" w:type="dxa"/>
            </w:tcMar>
          </w:tcPr>
          <w:p w:rsidR="00000000" w:rsidRPr="00EF6CC7" w:rsidP="00EF6CC7">
            <w:pPr>
              <w:pStyle w:val="BodyText"/>
            </w:pPr>
            <w:r w:rsidRPr="00EF6CC7">
              <w:t>Complete service report</w:t>
            </w:r>
          </w:p>
        </w:tc>
      </w:tr>
    </w:tbl>
    <w:p w:rsidR="00000000" w:rsidRPr="00EF6CC7" w:rsidP="00EF6CC7">
      <w:pPr>
        <w:pStyle w:val="BodyText"/>
      </w:pPr>
    </w:p>
    <w:p w:rsidR="00000000" w:rsidRPr="00EF6CC7" w:rsidP="00EF6CC7">
      <w:pPr>
        <w:pStyle w:val="AllowPageBreak"/>
      </w:pPr>
    </w:p>
    <w:p w:rsidR="00000000" w:rsidRPr="00EF6CC7" w:rsidP="00EF6CC7">
      <w:pPr>
        <w:pStyle w:val="Heading1"/>
      </w:pPr>
      <w:bookmarkStart w:id="6" w:name="O_1169924"/>
      <w:bookmarkEnd w:id="6"/>
      <w:r w:rsidRPr="00EF6CC7">
        <w:t>Foundation Skills</w:t>
      </w:r>
    </w:p>
    <w:p w:rsidR="00000000" w:rsidRPr="00EF6CC7" w:rsidP="00DE3DA9">
      <w:pPr>
        <w:pStyle w:val="BodyText"/>
      </w:pPr>
      <w:r w:rsidRPr="00EF6CC7">
        <w:t xml:space="preserve">This section describes those required skills (reading, writing, oral communication and numeracy) that are essential to workplace performance in this unit of competency.  </w:t>
      </w:r>
    </w:p>
    <w:p w:rsidR="00000000" w:rsidRPr="00EF6CC7" w:rsidP="00DE3DA9">
      <w:pPr>
        <w:pStyle w:val="BodyText"/>
      </w:pPr>
      <w:r w:rsidRPr="00EF6CC7">
        <w:t xml:space="preserve">Foundation skills essential to performance are explicit in the performance criteria </w:t>
      </w:r>
      <w:r w:rsidRPr="00EF6CC7">
        <w:t>of this unit of competency.</w:t>
      </w:r>
    </w:p>
    <w:p w:rsidR="00000000" w:rsidRPr="00EF6CC7" w:rsidP="00EF6CC7">
      <w:pPr>
        <w:pStyle w:val="Heading1"/>
      </w:pPr>
      <w:bookmarkStart w:id="7" w:name="O_1169923"/>
      <w:bookmarkEnd w:id="7"/>
      <w:r w:rsidRPr="00EF6CC7">
        <w:t>Range of Conditions</w:t>
      </w:r>
    </w:p>
    <w:tbl>
      <w:tblPr>
        <w:tblW w:w="0" w:type="auto"/>
        <w:tblLayout w:type="fixed"/>
        <w:tblCellMar>
          <w:left w:w="62" w:type="dxa"/>
          <w:right w:w="62" w:type="dxa"/>
        </w:tblCellMar>
        <w:tblLook w:val="0000"/>
      </w:tblPr>
      <w:tblGrid>
        <w:gridCol w:w="2641"/>
        <w:gridCol w:w="6501"/>
      </w:tblGrid>
      <w:tr w:rsidTr="00EF6CC7">
        <w:tblPrEx>
          <w:tblW w:w="0" w:type="auto"/>
          <w:tblLayout w:type="fixed"/>
          <w:tblCellMar>
            <w:left w:w="62" w:type="dxa"/>
            <w:right w:w="62" w:type="dxa"/>
          </w:tblCellMar>
          <w:tblLook w:val="0000"/>
        </w:tblPrEx>
        <w:trPr>
          <w:tblHeader/>
        </w:trPr>
        <w:tc>
          <w:tcPr>
            <w:tcW w:w="9142" w:type="dxa"/>
            <w:gridSpan w:val="2"/>
            <w:tcBorders>
              <w:top w:val="nil"/>
              <w:left w:val="nil"/>
              <w:bottom w:val="nil"/>
              <w:right w:val="nil"/>
            </w:tcBorders>
            <w:tcMar>
              <w:top w:w="0" w:type="dxa"/>
              <w:left w:w="62" w:type="dxa"/>
              <w:bottom w:w="0" w:type="dxa"/>
              <w:right w:w="62" w:type="dxa"/>
            </w:tcMar>
          </w:tcPr>
          <w:p w:rsidR="00000000" w:rsidP="00EF6CC7">
            <w:pPr>
              <w:pStyle w:val="BodyText"/>
              <w:rPr>
                <w:lang w:val="en-NZ"/>
              </w:rPr>
            </w:pPr>
            <w:r w:rsidRPr="00EF6CC7">
              <w:t>This field allows for different work environments and conditions that may affect performance. Essential operating conditions that may be present (depending on the work situation, needs of t</w:t>
            </w:r>
            <w:r w:rsidRPr="00EF6CC7">
              <w:t>he candidate, accessibility of the item, and local industry and regional contexts) are included.</w:t>
            </w:r>
          </w:p>
        </w:tc>
      </w:tr>
      <w:tr w:rsidTr="00EF6CC7">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rsidP="00EF6CC7">
            <w:pPr>
              <w:pStyle w:val="BodyText"/>
              <w:rPr>
                <w:lang w:val="en-NZ"/>
              </w:rPr>
            </w:pPr>
            <w:r w:rsidRPr="00EF6CC7">
              <w:rPr>
                <w:rStyle w:val="SpecialBold"/>
              </w:rPr>
              <w:t>Mechanical drive</w:t>
            </w:r>
            <w:r w:rsidRPr="00EF6CC7">
              <w:t>/</w:t>
            </w:r>
            <w:r w:rsidRPr="00EF6CC7">
              <w:rPr>
                <w:rStyle w:val="SpecialBold"/>
              </w:rPr>
              <w:t>transmission</w:t>
            </w:r>
            <w:r w:rsidRPr="00EF6CC7">
              <w:t xml:space="preserve"> </w:t>
            </w:r>
            <w:r w:rsidRPr="00EF6CC7">
              <w:rPr>
                <w:rStyle w:val="SpecialBold"/>
              </w:rPr>
              <w:t>components</w:t>
            </w:r>
            <w:r w:rsidRPr="00EF6CC7">
              <w:t xml:space="preserve"> </w:t>
            </w:r>
            <w:r w:rsidRPr="00EF6CC7">
              <w:rPr>
                <w:rStyle w:val="SpecialBold"/>
              </w:rPr>
              <w:t>include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EF6CC7" w:rsidP="00EF6CC7">
            <w:pPr>
              <w:pStyle w:val="ListBullet"/>
            </w:pPr>
            <w:r w:rsidRPr="00EF6CC7">
              <w:t>worm and worm wheel</w:t>
            </w:r>
          </w:p>
          <w:p w:rsidR="00000000" w:rsidRPr="00EF6CC7" w:rsidP="00EF6CC7">
            <w:pPr>
              <w:pStyle w:val="ListBullet"/>
            </w:pPr>
            <w:r w:rsidRPr="00EF6CC7">
              <w:t>line shafts</w:t>
            </w:r>
          </w:p>
          <w:p w:rsidR="00000000" w:rsidRPr="00EF6CC7" w:rsidP="00EF6CC7">
            <w:pPr>
              <w:pStyle w:val="ListBullet"/>
            </w:pPr>
            <w:r w:rsidRPr="00EF6CC7">
              <w:t>plumber blocks</w:t>
            </w:r>
          </w:p>
          <w:p w:rsidR="00000000" w:rsidRPr="00EF6CC7" w:rsidP="00EF6CC7">
            <w:pPr>
              <w:pStyle w:val="ListBullet"/>
            </w:pPr>
            <w:r w:rsidRPr="00EF6CC7">
              <w:t>pulleys</w:t>
            </w:r>
          </w:p>
          <w:p w:rsidR="00000000" w:rsidRPr="00EF6CC7" w:rsidP="00EF6CC7">
            <w:pPr>
              <w:pStyle w:val="ListBullet"/>
            </w:pPr>
            <w:r w:rsidRPr="00EF6CC7">
              <w:t>sprockets</w:t>
            </w:r>
          </w:p>
          <w:p w:rsidR="00000000" w:rsidRPr="00EF6CC7" w:rsidP="00EF6CC7">
            <w:pPr>
              <w:pStyle w:val="ListBullet"/>
            </w:pPr>
            <w:r w:rsidRPr="00EF6CC7">
              <w:t>belts</w:t>
            </w:r>
          </w:p>
          <w:p w:rsidR="00000000" w:rsidRPr="00EF6CC7" w:rsidP="00EF6CC7">
            <w:pPr>
              <w:pStyle w:val="ListBullet"/>
            </w:pPr>
            <w:r w:rsidRPr="00EF6CC7">
              <w:t>taper bush assemblies</w:t>
            </w:r>
          </w:p>
          <w:p w:rsidR="00000000" w:rsidRPr="00EF6CC7" w:rsidP="00EF6CC7">
            <w:pPr>
              <w:pStyle w:val="ListBullet"/>
            </w:pPr>
            <w:r w:rsidRPr="00EF6CC7">
              <w:t>roller chains</w:t>
            </w:r>
          </w:p>
          <w:p w:rsidR="00000000" w:rsidRPr="00EF6CC7" w:rsidP="00EF6CC7">
            <w:pPr>
              <w:pStyle w:val="ListBullet"/>
            </w:pPr>
            <w:r w:rsidRPr="00EF6CC7">
              <w:t>chain drives</w:t>
            </w:r>
          </w:p>
          <w:p w:rsidR="00000000" w:rsidRPr="00EF6CC7" w:rsidP="00EF6CC7">
            <w:pPr>
              <w:pStyle w:val="ListBullet"/>
            </w:pPr>
            <w:r w:rsidRPr="00EF6CC7">
              <w:t>mechanical and hydraulic couplings</w:t>
            </w:r>
          </w:p>
          <w:p w:rsidR="00000000" w:rsidRPr="00EF6CC7" w:rsidP="00EF6CC7">
            <w:pPr>
              <w:pStyle w:val="ListBullet"/>
            </w:pPr>
            <w:r w:rsidRPr="00EF6CC7">
              <w:t>compression couplings</w:t>
            </w:r>
          </w:p>
          <w:p w:rsidR="00000000" w:rsidRPr="00EF6CC7" w:rsidP="00EF6CC7">
            <w:pPr>
              <w:pStyle w:val="ListBullet"/>
            </w:pPr>
            <w:r w:rsidRPr="00EF6CC7">
              <w:t>disc type flexible couplings</w:t>
            </w:r>
          </w:p>
          <w:p w:rsidR="00000000" w:rsidRPr="00EF6CC7" w:rsidP="00EF6CC7">
            <w:pPr>
              <w:pStyle w:val="ListBullet"/>
            </w:pPr>
            <w:r w:rsidRPr="00EF6CC7">
              <w:t>spider type</w:t>
            </w:r>
          </w:p>
          <w:p w:rsidR="00000000" w:rsidRPr="00EF6CC7" w:rsidP="00EF6CC7">
            <w:pPr>
              <w:pStyle w:val="ListBullet"/>
            </w:pPr>
            <w:r w:rsidRPr="00EF6CC7">
              <w:t>chain couplings</w:t>
            </w:r>
          </w:p>
          <w:p w:rsidR="00000000" w:rsidRPr="00EF6CC7" w:rsidP="00EF6CC7">
            <w:pPr>
              <w:pStyle w:val="ListBullet"/>
            </w:pPr>
            <w:r w:rsidRPr="00EF6CC7">
              <w:t>universal joints</w:t>
            </w:r>
          </w:p>
          <w:p w:rsidR="00000000" w:rsidRPr="00EF6CC7" w:rsidP="00EF6CC7">
            <w:pPr>
              <w:pStyle w:val="ListBullet"/>
            </w:pPr>
            <w:r w:rsidRPr="00EF6CC7">
              <w:t>bevel gearing</w:t>
            </w:r>
          </w:p>
          <w:p w:rsidR="00000000" w:rsidRPr="00EF6CC7" w:rsidP="00EF6CC7">
            <w:pPr>
              <w:pStyle w:val="ListBullet"/>
            </w:pPr>
            <w:r w:rsidRPr="00EF6CC7">
              <w:t>rack and pinion gearing</w:t>
            </w:r>
          </w:p>
          <w:p w:rsidR="00000000" w:rsidRPr="00EF6CC7" w:rsidP="00EF6CC7">
            <w:pPr>
              <w:pStyle w:val="ListBullet"/>
            </w:pPr>
            <w:r w:rsidRPr="00EF6CC7">
              <w:t>dog toothed clutches</w:t>
            </w:r>
          </w:p>
          <w:p w:rsidR="00000000" w:rsidRPr="00EF6CC7" w:rsidP="00EF6CC7">
            <w:pPr>
              <w:pStyle w:val="ListBullet"/>
            </w:pPr>
            <w:r w:rsidRPr="00EF6CC7">
              <w:t>cone type clutches</w:t>
            </w:r>
          </w:p>
          <w:p w:rsidR="00000000" w:rsidRPr="00EF6CC7" w:rsidP="00EF6CC7">
            <w:pPr>
              <w:pStyle w:val="ListBullet"/>
            </w:pPr>
            <w:r w:rsidRPr="00EF6CC7">
              <w:t>expanding shoe type clutches</w:t>
            </w:r>
          </w:p>
          <w:p w:rsidR="00000000" w:rsidRPr="00EF6CC7" w:rsidP="00EF6CC7">
            <w:pPr>
              <w:pStyle w:val="ListBullet"/>
            </w:pPr>
            <w:r w:rsidRPr="00EF6CC7">
              <w:t>friction/plate type clutches</w:t>
            </w:r>
          </w:p>
          <w:p w:rsidR="00000000" w:rsidRPr="00EF6CC7" w:rsidP="00EF6CC7">
            <w:pPr>
              <w:pStyle w:val="ListBullet"/>
            </w:pPr>
            <w:r w:rsidRPr="00EF6CC7">
              <w:t>centrifugal clutches</w:t>
            </w:r>
          </w:p>
          <w:p w:rsidR="00000000" w:rsidRPr="00EF6CC7" w:rsidP="00EF6CC7">
            <w:pPr>
              <w:pStyle w:val="ListBullet"/>
            </w:pPr>
            <w:r w:rsidRPr="00EF6CC7">
              <w:t>toggle action linkages</w:t>
            </w:r>
          </w:p>
          <w:p w:rsidR="00000000" w:rsidRPr="00EF6CC7" w:rsidP="00EF6CC7">
            <w:pPr>
              <w:pStyle w:val="ListBullet"/>
            </w:pPr>
            <w:r w:rsidRPr="00EF6CC7">
              <w:t>magnetic clutches</w:t>
            </w:r>
          </w:p>
          <w:p w:rsidR="00000000" w:rsidRPr="00EF6CC7" w:rsidP="00EF6CC7">
            <w:pPr>
              <w:pStyle w:val="ListBullet"/>
            </w:pPr>
            <w:r w:rsidRPr="00EF6CC7">
              <w:t>sprag clutches</w:t>
            </w:r>
          </w:p>
          <w:p w:rsidR="00000000" w:rsidRPr="00EF6CC7" w:rsidP="00EF6CC7">
            <w:pPr>
              <w:pStyle w:val="ListBullet"/>
            </w:pPr>
            <w:r w:rsidRPr="00EF6CC7">
              <w:t xml:space="preserve">band type brakes </w:t>
            </w:r>
          </w:p>
          <w:p w:rsidR="00000000" w:rsidRPr="00EF6CC7" w:rsidP="00EF6CC7">
            <w:pPr>
              <w:pStyle w:val="ListBullet"/>
            </w:pPr>
            <w:r w:rsidRPr="00EF6CC7">
              <w:t>other associated drive components</w:t>
            </w:r>
          </w:p>
          <w:p w:rsidR="00000000" w:rsidP="00EF6CC7">
            <w:pPr>
              <w:pStyle w:val="BodyText"/>
              <w:rPr>
                <w:lang w:val="en-NZ"/>
              </w:rPr>
            </w:pPr>
          </w:p>
        </w:tc>
      </w:tr>
      <w:tr w:rsidTr="00EF6CC7">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rsidP="00EF6CC7">
            <w:pPr>
              <w:pStyle w:val="BodyText"/>
              <w:rPr>
                <w:lang w:val="en-NZ"/>
              </w:rPr>
            </w:pPr>
            <w:r w:rsidRPr="00EF6CC7">
              <w:rPr>
                <w:rStyle w:val="SpecialBold"/>
              </w:rPr>
              <w:t>Sensory inspection includes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EF6CC7" w:rsidP="00EF6CC7">
            <w:pPr>
              <w:pStyle w:val="ListBullet"/>
            </w:pPr>
            <w:r w:rsidRPr="00EF6CC7">
              <w:t>vibration</w:t>
            </w:r>
          </w:p>
          <w:p w:rsidR="00000000" w:rsidRPr="00EF6CC7" w:rsidP="00EF6CC7">
            <w:pPr>
              <w:pStyle w:val="ListBullet"/>
            </w:pPr>
            <w:r w:rsidRPr="00EF6CC7">
              <w:t>heat</w:t>
            </w:r>
          </w:p>
          <w:p w:rsidR="00000000" w:rsidRPr="00EF6CC7" w:rsidP="00EF6CC7">
            <w:pPr>
              <w:pStyle w:val="ListBullet"/>
            </w:pPr>
            <w:r w:rsidRPr="00EF6CC7">
              <w:t>smell</w:t>
            </w:r>
          </w:p>
          <w:p w:rsidR="00000000" w:rsidRPr="00EF6CC7" w:rsidP="00EF6CC7">
            <w:pPr>
              <w:pStyle w:val="ListBullet"/>
            </w:pPr>
            <w:r w:rsidRPr="00EF6CC7">
              <w:t>sound</w:t>
            </w:r>
          </w:p>
          <w:p w:rsidR="00000000" w:rsidRPr="00EF6CC7" w:rsidP="00EF6CC7">
            <w:pPr>
              <w:pStyle w:val="ListBullet"/>
            </w:pPr>
            <w:r w:rsidRPr="00EF6CC7">
              <w:t>sight</w:t>
            </w:r>
          </w:p>
          <w:p w:rsidR="00000000" w:rsidRPr="00EF6CC7" w:rsidP="00EF6CC7">
            <w:pPr>
              <w:pStyle w:val="BodyText"/>
            </w:pPr>
          </w:p>
        </w:tc>
      </w:tr>
    </w:tbl>
    <w:p w:rsidR="00000000" w:rsidRPr="00EF6CC7" w:rsidP="00EF6CC7">
      <w:pPr>
        <w:pStyle w:val="BodyText"/>
      </w:pPr>
    </w:p>
    <w:p w:rsidR="00000000" w:rsidRPr="00EF6CC7" w:rsidP="00EF6CC7">
      <w:pPr>
        <w:pStyle w:val="AllowPageBreak"/>
      </w:pPr>
    </w:p>
    <w:p w:rsidR="00000000" w:rsidRPr="00EF6CC7" w:rsidP="00EF6CC7">
      <w:pPr>
        <w:pStyle w:val="Heading1"/>
      </w:pPr>
      <w:bookmarkStart w:id="8" w:name="O_1169922"/>
      <w:bookmarkEnd w:id="8"/>
      <w:r w:rsidRPr="00EF6CC7">
        <w:t>Unit Mapping Information</w:t>
      </w:r>
    </w:p>
    <w:p w:rsidR="00000000" w:rsidRPr="00EF6CC7" w:rsidP="00DE3DA9">
      <w:pPr>
        <w:pStyle w:val="BodyText"/>
      </w:pPr>
      <w:r w:rsidRPr="00EF6CC7">
        <w:t>Release 2. Supersedes and is equivalent to MEM18007 Maintain and repair mechanical drives and mechanical transmis</w:t>
      </w:r>
      <w:r w:rsidRPr="00EF6CC7">
        <w:t>sion assemblies (Release 1).</w:t>
      </w:r>
    </w:p>
    <w:p w:rsidR="00000000" w:rsidRPr="00EF6CC7" w:rsidP="00DE3DA9">
      <w:pPr>
        <w:pStyle w:val="BodyText"/>
      </w:pPr>
      <w:r w:rsidRPr="00EF6CC7">
        <w:t>Release 1. Supersedes and is equivalent to MEM18007B Maintain and repair mechanical drives and mechanical transmission assemblies.</w:t>
      </w:r>
    </w:p>
    <w:p w:rsidR="00000000" w:rsidRPr="00EF6CC7" w:rsidP="00EF6CC7">
      <w:pPr>
        <w:pStyle w:val="Heading1"/>
      </w:pPr>
      <w:bookmarkStart w:id="9" w:name="O_1169930"/>
      <w:bookmarkEnd w:id="9"/>
      <w:r w:rsidRPr="00EF6CC7">
        <w:t>Links</w:t>
      </w:r>
    </w:p>
    <w:p w:rsidR="00000000" w:rsidRPr="00EF6CC7" w:rsidP="00DE3DA9">
      <w:pPr>
        <w:pStyle w:val="BodyText"/>
      </w:pPr>
      <w:r w:rsidRPr="00EF6CC7">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661BE4">
        <w:rPr>
          <w:rStyle w:val="Hyperlink"/>
        </w:rPr>
        <w:t>https://vetnet.gov.au/Pages/TrainingDocs.aspx?q=b7050d37-5fd0-4740-8f7d-3b7a49c10bb2</w:t>
      </w:r>
      <w:r>
        <w:fldChar w:fldCharType="end"/>
      </w:r>
    </w:p>
    <w:p w:rsidR="00000000" w:rsidRPr="00EF6CC7" w:rsidP="00DE3DA9">
      <w:pPr>
        <w:pStyle w:val="BodyText"/>
        <w:sectPr w:rsidSect="00EF6CC7">
          <w:headerReference w:type="default" r:id="rId10"/>
          <w:footerReference w:type="default" r:id="rId11"/>
          <w:pgSz w:w="11908" w:h="16833"/>
          <w:pgMar w:top="1702" w:right="1418" w:bottom="1702" w:left="1418" w:header="992" w:footer="992" w:gutter="0"/>
          <w:cols w:space="720"/>
          <w:noEndnote/>
          <w:docGrid w:linePitch="299"/>
        </w:sectPr>
      </w:pPr>
    </w:p>
    <w:p w:rsidR="00000000" w:rsidRPr="00EF6CC7" w:rsidP="00EF6CC7">
      <w:pPr>
        <w:pStyle w:val="SuperHeading"/>
      </w:pPr>
      <w:r w:rsidRPr="00EF6CC7">
        <w:t xml:space="preserve">Assessment </w:t>
      </w:r>
      <w:r w:rsidRPr="00EF6CC7">
        <w:t>Requirements for MEM18007 Maintain and repair mechanical drives and mechanical transmission assemblies</w:t>
      </w:r>
    </w:p>
    <w:p w:rsidR="00000000" w:rsidRPr="00EF6CC7" w:rsidP="00EF6CC7">
      <w:pPr>
        <w:pStyle w:val="Heading1"/>
      </w:pPr>
      <w:bookmarkStart w:id="10" w:name="O_1169920"/>
      <w:bookmarkEnd w:id="10"/>
      <w:r w:rsidRPr="00EF6CC7">
        <w:t>Modification History</w:t>
      </w:r>
    </w:p>
    <w:p w:rsidR="00000000" w:rsidRPr="00EF6CC7" w:rsidP="00DE3DA9">
      <w:pPr>
        <w:pStyle w:val="BodyText"/>
      </w:pPr>
      <w:r w:rsidRPr="00EF6CC7">
        <w:t>Release 2. Quantum of hours of workplace practice removed. Supersedes and is equivalent to MEM18007 Maintain and r</w:t>
      </w:r>
      <w:r w:rsidRPr="00EF6CC7">
        <w:t>epair mechanical drives and mechanical transmission assemblies (Release 1).</w:t>
      </w:r>
    </w:p>
    <w:p w:rsidR="00000000" w:rsidRPr="00EF6CC7" w:rsidP="00DE3DA9">
      <w:pPr>
        <w:pStyle w:val="BodyText"/>
      </w:pPr>
      <w:r w:rsidRPr="00EF6CC7">
        <w:t>Release 1. Supersedes and is equivalent to MEM18007B Maintain and repair mechanical drives and mechanical transmission assemblies.</w:t>
      </w:r>
    </w:p>
    <w:p w:rsidR="00000000" w:rsidRPr="00EF6CC7" w:rsidP="00EF6CC7">
      <w:pPr>
        <w:pStyle w:val="Heading1"/>
      </w:pPr>
      <w:bookmarkStart w:id="11" w:name="O_1169919"/>
      <w:bookmarkEnd w:id="11"/>
      <w:r w:rsidRPr="00EF6CC7">
        <w:t>Performance Evidence</w:t>
      </w:r>
    </w:p>
    <w:p w:rsidR="00000000" w:rsidRPr="00EF6CC7" w:rsidP="00DE3DA9">
      <w:pPr>
        <w:pStyle w:val="BodyText"/>
      </w:pPr>
      <w:r w:rsidRPr="00EF6CC7">
        <w:t xml:space="preserve">Evidence </w:t>
      </w:r>
      <w:r w:rsidRPr="00EF6CC7">
        <w:t>required to demonstrate competence in this unit must be relevant to and satisfy the requirements of the elements and performance criteria on at least two (2) occasions and include:</w:t>
      </w:r>
    </w:p>
    <w:p w:rsidR="00000000" w:rsidRPr="00EF6CC7" w:rsidP="00EF6CC7">
      <w:pPr>
        <w:pStyle w:val="ListBullet"/>
      </w:pPr>
      <w:r w:rsidRPr="00EF6CC7">
        <w:t>following work instructions, standard operating procedures (SOPs) and safe</w:t>
      </w:r>
      <w:r w:rsidRPr="00EF6CC7">
        <w:t xml:space="preserve"> work practices </w:t>
      </w:r>
    </w:p>
    <w:p w:rsidR="00000000" w:rsidRPr="00EF6CC7" w:rsidP="00EF6CC7">
      <w:pPr>
        <w:pStyle w:val="ListBullet"/>
      </w:pPr>
      <w:r w:rsidRPr="00EF6CC7">
        <w:t>identifying and interpreting specifications, charts, lists and drawings to maintain and repair mechanical drives and transmission assemblies</w:t>
      </w:r>
    </w:p>
    <w:p w:rsidR="00000000" w:rsidRPr="00EF6CC7" w:rsidP="00EF6CC7">
      <w:pPr>
        <w:pStyle w:val="ListBullet"/>
      </w:pPr>
      <w:r w:rsidRPr="00EF6CC7">
        <w:t>undertaking diagnosis and testing of mechanical drives/transmissions components for wear, lubricat</w:t>
      </w:r>
      <w:r w:rsidRPr="00EF6CC7">
        <w:t>ion, faults and malfunctions using appropriate tools, equipment and techniques</w:t>
      </w:r>
    </w:p>
    <w:p w:rsidR="00000000" w:rsidRPr="00EF6CC7" w:rsidP="00EF6CC7">
      <w:pPr>
        <w:pStyle w:val="ListBullet"/>
      </w:pPr>
      <w:r w:rsidRPr="00EF6CC7">
        <w:t>identifying assemblies requiring further diagnosis/repair or adjustment and document findings</w:t>
      </w:r>
    </w:p>
    <w:p w:rsidR="00000000" w:rsidRPr="00EF6CC7" w:rsidP="00EF6CC7">
      <w:pPr>
        <w:pStyle w:val="ListBullet"/>
      </w:pPr>
      <w:r w:rsidRPr="00EF6CC7">
        <w:t>determining adjustment requirements of mechanical drives and transmission assemblie</w:t>
      </w:r>
      <w:r w:rsidRPr="00EF6CC7">
        <w:t xml:space="preserve">s from manufacturers’ specifications and manuals </w:t>
      </w:r>
    </w:p>
    <w:p w:rsidR="00000000" w:rsidRPr="00EF6CC7" w:rsidP="00EF6CC7">
      <w:pPr>
        <w:pStyle w:val="ListBullet"/>
      </w:pPr>
      <w:r w:rsidRPr="00EF6CC7">
        <w:t>carrying out adjustments to specifications and confirming correct operation</w:t>
      </w:r>
    </w:p>
    <w:p w:rsidR="00000000" w:rsidRPr="00EF6CC7" w:rsidP="00EF6CC7">
      <w:pPr>
        <w:pStyle w:val="ListBullet"/>
      </w:pPr>
      <w:r w:rsidRPr="00EF6CC7">
        <w:t>interpreting service reports and carrying out inspection of drive/transmission assembly visually, sensory and use of diagnostic test equipment to localise faults down to component level and identify for repair or replacement</w:t>
      </w:r>
    </w:p>
    <w:p w:rsidR="00000000" w:rsidRPr="00EF6CC7" w:rsidP="00EF6CC7">
      <w:pPr>
        <w:pStyle w:val="ListBullet"/>
      </w:pPr>
      <w:r w:rsidRPr="00EF6CC7">
        <w:t>dismantling mechanical drive/tr</w:t>
      </w:r>
      <w:r w:rsidRPr="00EF6CC7">
        <w:t xml:space="preserve">ansmission using appropriate tools and equipment, repairing serviceable items and re-fitting component parts in accordance with manufacturers’/site specifications  </w:t>
      </w:r>
    </w:p>
    <w:p w:rsidR="00000000" w:rsidRPr="00EF6CC7" w:rsidP="00EF6CC7">
      <w:pPr>
        <w:pStyle w:val="ListBullet"/>
      </w:pPr>
      <w:r w:rsidRPr="00EF6CC7">
        <w:t>analysing fault causes and developing preventive measures to avoid re-occurrence</w:t>
      </w:r>
    </w:p>
    <w:p w:rsidR="00000000" w:rsidRPr="00EF6CC7" w:rsidP="00EF6CC7">
      <w:pPr>
        <w:pStyle w:val="ListBullet"/>
      </w:pPr>
      <w:r w:rsidRPr="00EF6CC7">
        <w:t>making fin</w:t>
      </w:r>
      <w:r w:rsidRPr="00EF6CC7">
        <w:t>al adjustments and commissioning to specifications and completing service report.</w:t>
      </w:r>
    </w:p>
    <w:p w:rsidR="00000000" w:rsidRPr="00EF6CC7" w:rsidP="00EF6CC7">
      <w:pPr>
        <w:pStyle w:val="AllowPageBreak"/>
      </w:pPr>
    </w:p>
    <w:p w:rsidR="00000000" w:rsidRPr="00EF6CC7" w:rsidP="00EF6CC7">
      <w:pPr>
        <w:pStyle w:val="Heading1"/>
      </w:pPr>
      <w:bookmarkStart w:id="12" w:name="O_1169918"/>
      <w:bookmarkEnd w:id="12"/>
      <w:r w:rsidRPr="00EF6CC7">
        <w:t>Knowledge Evidence</w:t>
      </w:r>
    </w:p>
    <w:p w:rsidR="00000000" w:rsidRPr="00EF6CC7" w:rsidP="00DE3DA9">
      <w:pPr>
        <w:pStyle w:val="BodyText"/>
      </w:pPr>
      <w:r w:rsidRPr="00EF6CC7">
        <w:t>Evidence required to demonstrate the required knowledge for this unit must be relevant to and satisfy the requirements of the elements a</w:t>
      </w:r>
      <w:r w:rsidRPr="00EF6CC7">
        <w:t>nd performance criteria and include knowledge of:</w:t>
      </w:r>
    </w:p>
    <w:p w:rsidR="00000000" w:rsidRPr="00EF6CC7" w:rsidP="00EF6CC7">
      <w:pPr>
        <w:pStyle w:val="ListBullet"/>
      </w:pPr>
      <w:r w:rsidRPr="00EF6CC7">
        <w:t>safe work practices and procedures and use of personal protective equipment (PPE)</w:t>
      </w:r>
    </w:p>
    <w:p w:rsidR="00000000" w:rsidRPr="00EF6CC7" w:rsidP="00EF6CC7">
      <w:pPr>
        <w:pStyle w:val="ListBullet"/>
      </w:pPr>
      <w:r w:rsidRPr="00EF6CC7">
        <w:t>uses and characteristics of lubricants</w:t>
      </w:r>
    </w:p>
    <w:p w:rsidR="00000000" w:rsidRPr="00EF6CC7" w:rsidP="00EF6CC7">
      <w:pPr>
        <w:pStyle w:val="ListBullet"/>
      </w:pPr>
      <w:r w:rsidRPr="00EF6CC7">
        <w:t>principles of operation of a range of mechanical drives and transmissions</w:t>
      </w:r>
    </w:p>
    <w:p w:rsidR="00000000" w:rsidRPr="00EF6CC7" w:rsidP="00EF6CC7">
      <w:pPr>
        <w:pStyle w:val="ListBullet"/>
      </w:pPr>
      <w:r w:rsidRPr="00EF6CC7">
        <w:t>techniques</w:t>
      </w:r>
      <w:r w:rsidRPr="00EF6CC7">
        <w:t>, tools and equipment to measure components</w:t>
      </w:r>
    </w:p>
    <w:p w:rsidR="00000000" w:rsidRPr="00EF6CC7" w:rsidP="00EF6CC7">
      <w:pPr>
        <w:pStyle w:val="ListBullet"/>
      </w:pPr>
      <w:r w:rsidRPr="00EF6CC7">
        <w:t>common malfunctions in mechanical drives, transmissions and their components</w:t>
      </w:r>
    </w:p>
    <w:p w:rsidR="00000000" w:rsidRPr="00EF6CC7" w:rsidP="00EF6CC7">
      <w:pPr>
        <w:pStyle w:val="ListBullet"/>
      </w:pPr>
      <w:r w:rsidRPr="00EF6CC7">
        <w:t>procedures for checking and adjusting mechanical drives, transmissions and their components</w:t>
      </w:r>
    </w:p>
    <w:p w:rsidR="00000000" w:rsidRPr="00EF6CC7" w:rsidP="00EF6CC7">
      <w:pPr>
        <w:pStyle w:val="ListBullet"/>
      </w:pPr>
      <w:r w:rsidRPr="00EF6CC7">
        <w:t>preventative measures that can be undertake</w:t>
      </w:r>
      <w:r w:rsidRPr="00EF6CC7">
        <w:t>n to avoid recurrence of the fault/failure.</w:t>
      </w:r>
    </w:p>
    <w:p w:rsidR="00000000" w:rsidRPr="00EF6CC7" w:rsidP="00EF6CC7">
      <w:pPr>
        <w:pStyle w:val="AllowPageBreak"/>
      </w:pPr>
    </w:p>
    <w:p w:rsidR="00000000" w:rsidRPr="00EF6CC7" w:rsidP="00EF6CC7">
      <w:pPr>
        <w:pStyle w:val="Heading1"/>
      </w:pPr>
      <w:bookmarkStart w:id="13" w:name="O_1169917"/>
      <w:bookmarkEnd w:id="13"/>
      <w:r w:rsidRPr="00EF6CC7">
        <w:t>Assessment Conditions</w:t>
      </w:r>
    </w:p>
    <w:p w:rsidR="00000000" w:rsidRPr="00EF6CC7" w:rsidP="00EF6CC7">
      <w:pPr>
        <w:pStyle w:val="ListBullet"/>
      </w:pPr>
      <w:r w:rsidRPr="00EF6CC7">
        <w:t>Assessors must:</w:t>
      </w:r>
    </w:p>
    <w:p w:rsidR="00000000" w:rsidRPr="00EF6CC7" w:rsidP="00EF6CC7">
      <w:pPr>
        <w:pStyle w:val="ListBullet2"/>
      </w:pPr>
      <w:r w:rsidRPr="00EF6CC7">
        <w:t>have vocational competency in maintaining and repairing mechanical drives and mechanical transmission assemblies at least to the level being assessed wit</w:t>
      </w:r>
      <w:r w:rsidRPr="00EF6CC7">
        <w:t>h relevant industry knowledge and experience</w:t>
      </w:r>
    </w:p>
    <w:p w:rsidR="00000000" w:rsidRPr="00EF6CC7" w:rsidP="00EF6CC7">
      <w:pPr>
        <w:pStyle w:val="ListBullet2"/>
      </w:pPr>
      <w:r w:rsidRPr="00EF6CC7">
        <w:t xml:space="preserve">satisfy the assessor requirements in the </w:t>
      </w:r>
      <w:r w:rsidRPr="00EF6CC7">
        <w:rPr>
          <w:rStyle w:val="Emphasis"/>
        </w:rPr>
        <w:t xml:space="preserve">Standards for Registered Training Organisations 2015 </w:t>
      </w:r>
      <w:r w:rsidRPr="00EF6CC7">
        <w:t>or its replacement</w:t>
      </w:r>
      <w:r w:rsidRPr="00EF6CC7">
        <w:rPr>
          <w:rStyle w:val="Emphasis"/>
        </w:rPr>
        <w:t xml:space="preserve"> </w:t>
      </w:r>
      <w:r w:rsidRPr="00EF6CC7">
        <w:t xml:space="preserve">and comply with the </w:t>
      </w:r>
      <w:r w:rsidRPr="00EF6CC7">
        <w:rPr>
          <w:rStyle w:val="Emphasis"/>
        </w:rPr>
        <w:t xml:space="preserve">National Vocational Education and Training Regulator Act 2011, </w:t>
      </w:r>
      <w:r w:rsidRPr="00EF6CC7">
        <w:t>its replacement</w:t>
      </w:r>
      <w:r w:rsidRPr="00EF6CC7">
        <w:rPr>
          <w:rStyle w:val="Emphasis"/>
        </w:rPr>
        <w:t xml:space="preserve"> </w:t>
      </w:r>
      <w:r w:rsidRPr="00EF6CC7">
        <w:t>or equivalent legislation covering VET regulation in a non-referring state/territory as the case requires.</w:t>
      </w:r>
    </w:p>
    <w:p w:rsidR="00000000" w:rsidRPr="00EF6CC7" w:rsidP="00EF6CC7">
      <w:pPr>
        <w:pStyle w:val="ListBullet"/>
      </w:pPr>
      <w:r w:rsidRPr="00EF6CC7">
        <w:t>Assessment must occur in a functioning workplace. Where assessment in the workplace would be unsafe, impractical or threatens the environment, asse</w:t>
      </w:r>
      <w:r w:rsidRPr="00EF6CC7">
        <w:t>ssment must occur in a sufficiently rigorous simulated environment that reflects the circumstances that would be experienced in a functioning workplace. Assessment must cover all aspects of workplace performance, including task skills, task management skil</w:t>
      </w:r>
      <w:r w:rsidRPr="00EF6CC7">
        <w:t>ls, contingency management skills and job role environment skills.</w:t>
      </w:r>
    </w:p>
    <w:p w:rsidR="00000000" w:rsidRPr="00EF6CC7" w:rsidP="00EF6CC7">
      <w:pPr>
        <w:pStyle w:val="ListBullet"/>
      </w:pPr>
      <w:r w:rsidRPr="00EF6CC7">
        <w:t>Conditions for assessment must include access to all tools, equipment, materials and documentation required, including relevant workplace procedures, product and manufacturing specification</w:t>
      </w:r>
      <w:r w:rsidRPr="00EF6CC7">
        <w:t>s.</w:t>
      </w:r>
    </w:p>
    <w:p w:rsidR="00000000" w:rsidRPr="00EF6CC7" w:rsidP="00EF6CC7">
      <w:pPr>
        <w:pStyle w:val="ListBullet"/>
      </w:pPr>
      <w:r w:rsidRPr="00EF6CC7">
        <w:t>Assessment processes and techniques must be appropriate to the language, literacy and numeracy requirements of the work being performed and the needs of the candidate.</w:t>
      </w:r>
    </w:p>
    <w:p w:rsidR="00000000" w:rsidRPr="00EF6CC7" w:rsidP="00EF6CC7">
      <w:pPr>
        <w:pStyle w:val="AllowPageBreak"/>
      </w:pPr>
    </w:p>
    <w:p w:rsidR="00000000" w:rsidRPr="00EF6CC7" w:rsidP="00EF6CC7">
      <w:pPr>
        <w:pStyle w:val="Heading1"/>
      </w:pPr>
      <w:bookmarkStart w:id="14" w:name="O_1169931"/>
      <w:bookmarkEnd w:id="14"/>
      <w:r w:rsidRPr="00EF6CC7">
        <w:t>Links</w:t>
      </w:r>
    </w:p>
    <w:p w:rsidR="00000000" w:rsidRPr="00EF6CC7" w:rsidP="00DE3DA9">
      <w:pPr>
        <w:pStyle w:val="BodyText"/>
      </w:pPr>
      <w:r w:rsidRPr="00EF6CC7">
        <w:t>Companion Volume implementation guides are found in VETNet -</w:t>
      </w:r>
      <w:r w:rsidRPr="00EF6CC7">
        <w:t xml:space="preserve"> </w:t>
      </w:r>
      <w:r>
        <w:fldChar w:fldCharType="begin"/>
      </w:r>
      <w:r>
        <w:instrText xml:space="preserve"> HYPERLINK "https://vetnet.gov.au/Pages/TrainingDocs.aspx?q=b7050d37-5fd0-4740-8f7d-3b7a49c10bb2" </w:instrText>
      </w:r>
      <w:r>
        <w:fldChar w:fldCharType="separate"/>
      </w:r>
      <w:r w:rsidRPr="00661BE4">
        <w:rPr>
          <w:rStyle w:val="Hyperlink"/>
        </w:rPr>
        <w:t>https://vetnet.gov.au/Pages/TrainingDocs.aspx?q=b7050d37-5fd0-4740-8f7d-3b7a49c10bb2</w:t>
      </w:r>
      <w:r>
        <w:fldChar w:fldCharType="end"/>
      </w:r>
    </w:p>
    <w:p w:rsidR="00000000" w:rsidRPr="00EF6CC7" w:rsidP="00EF6CC7"/>
    <w:sectPr w:rsidSect="00EF6CC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C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CC7" w:rsidRPr="00DE3DA9" w:rsidP="00DE3D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C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DA9" w:rsidP="00EF6C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E3DA9" w:rsidP="00EF6CC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DE3DA9" w:rsidP="00EF6CC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CC7" w:rsidP="00EF6CC7">
    <w:pPr>
      <w:pStyle w:val="Footer"/>
      <w:framePr w:wrap="around"/>
    </w:pPr>
    <w:r>
      <w:fldChar w:fldCharType="begin"/>
    </w:r>
    <w:r>
      <w:instrText xml:space="preserve"> DOCPROPERTY  Subject  \* MERGEFORMAT </w:instrText>
    </w:r>
    <w:r>
      <w:fldChar w:fldCharType="separate"/>
    </w:r>
    <w:r w:rsidR="00DE3DA9">
      <w:t>Approved</w:t>
    </w:r>
    <w:r w:rsidR="00DE3DA9">
      <w:fldChar w:fldCharType="end"/>
    </w:r>
    <w:r>
      <w:tab/>
      <w:t xml:space="preserve">Page </w:t>
    </w:r>
    <w:r>
      <w:fldChar w:fldCharType="begin"/>
    </w:r>
    <w:r>
      <w:instrText xml:space="preserve"> PAGE  \* Arabic  \* MERGEFORMAT </w:instrText>
    </w:r>
    <w:r>
      <w:fldChar w:fldCharType="separate"/>
    </w:r>
    <w:r w:rsidR="00DE3DA9">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E3DA9">
      <w:rPr>
        <w:noProof/>
      </w:rPr>
      <w:t>6</w:t>
    </w:r>
    <w:r>
      <w:rPr>
        <w:noProof/>
      </w:rPr>
      <w:fldChar w:fldCharType="end"/>
    </w:r>
  </w:p>
  <w:p w:rsidR="00EF6CC7" w:rsidP="00EF6CC7">
    <w:pPr>
      <w:pStyle w:val="Footer"/>
      <w:framePr w:wrap="around"/>
    </w:pPr>
    <w:r>
      <w:t xml:space="preserve">© Commonwealth of Australia, </w:t>
    </w:r>
    <w:r>
      <w:fldChar w:fldCharType="begin"/>
    </w:r>
    <w:r>
      <w:instrText xml:space="preserve"> DATE  \@ "yyyy"  \* MERGEFORMAT </w:instrText>
    </w:r>
    <w:r>
      <w:fldChar w:fldCharType="separate"/>
    </w:r>
    <w:r w:rsidR="00DE3DA9">
      <w:rPr>
        <w:noProof/>
      </w:rPr>
      <w:t>2025</w:t>
    </w:r>
    <w:r>
      <w:fldChar w:fldCharType="end"/>
    </w:r>
    <w:r>
      <w:tab/>
    </w:r>
    <w:r>
      <w:fldChar w:fldCharType="begin"/>
    </w:r>
    <w:r>
      <w:instrText xml:space="preserve"> DOCPROPERTY  Author  \* MERGEFORMAT </w:instrText>
    </w:r>
    <w:r>
      <w:fldChar w:fldCharType="separate"/>
    </w:r>
    <w:r w:rsidR="00DE3DA9">
      <w:t>Manufacturing Industry Skills Alliance</w:t>
    </w:r>
    <w:r w:rsidR="00DE3DA9">
      <w:fldChar w:fldCharType="end"/>
    </w:r>
  </w:p>
  <w:p w:rsidR="00EF6CC7" w:rsidP="00EF6CC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C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DA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F6CC7" w:rsidRPr="00DE3DA9" w:rsidP="00DE3DA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C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DA9" w:rsidRPr="002D2AF8" w:rsidP="00EF6CC7">
    <w:pPr>
      <w:pStyle w:val="Header"/>
      <w:framePr w:wrap="around"/>
    </w:pPr>
    <w:r>
      <w:fldChar w:fldCharType="begin"/>
    </w:r>
    <w:r>
      <w:instrText xml:space="preserve"> TITLE   \* MERGEFORMAT </w:instrText>
    </w:r>
    <w:r>
      <w:fldChar w:fldCharType="separate"/>
    </w:r>
    <w:r>
      <w:t>MEM18007 Maintain and repair mechanical drives and mechanical transmission assemblies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E3DA9" w:rsidP="00EF6CC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CC7" w:rsidRPr="002D2AF8" w:rsidP="00EF6CC7">
    <w:pPr>
      <w:pStyle w:val="Header"/>
      <w:framePr w:wrap="around"/>
    </w:pPr>
    <w:r>
      <w:fldChar w:fldCharType="begin"/>
    </w:r>
    <w:r>
      <w:instrText xml:space="preserve"> TITLE   \* MERGEFORMAT </w:instrText>
    </w:r>
    <w:r>
      <w:fldChar w:fldCharType="separate"/>
    </w:r>
    <w:r w:rsidR="00DE3DA9">
      <w:t>MEM18007 Maintain and repair mechanical drives and mechanical transmission assemblies</w:t>
    </w:r>
    <w:r w:rsidR="00DE3DA9">
      <w:fldChar w:fldCharType="end"/>
    </w:r>
    <w:r>
      <w:tab/>
      <w:t xml:space="preserve">Date this document was generated: </w:t>
    </w:r>
    <w:r>
      <w:fldChar w:fldCharType="begin"/>
    </w:r>
    <w:r>
      <w:instrText xml:space="preserve"> CREATEDATE  \@ "d MMMM yyyy"  \* MERGEFORMAT </w:instrText>
    </w:r>
    <w:r>
      <w:fldChar w:fldCharType="separate"/>
    </w:r>
    <w:r w:rsidR="00DE3DA9">
      <w:rPr>
        <w:noProof/>
      </w:rPr>
      <w:t>2 March 2025</w:t>
    </w:r>
    <w:r>
      <w:fldChar w:fldCharType="end"/>
    </w:r>
  </w:p>
  <w:p w:rsidR="00EF6CC7" w:rsidP="00EF6CC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BD4E8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736CB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43AF5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6CC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6CC7"/>
    <w:pPr>
      <w:spacing w:before="360" w:after="60"/>
      <w:outlineLvl w:val="0"/>
    </w:pPr>
    <w:rPr>
      <w:sz w:val="32"/>
    </w:rPr>
  </w:style>
  <w:style w:type="paragraph" w:styleId="Heading2">
    <w:name w:val="heading 2"/>
    <w:basedOn w:val="HeadingBase"/>
    <w:next w:val="BodyText"/>
    <w:link w:val="Heading2Char"/>
    <w:qFormat/>
    <w:rsid w:val="00EF6CC7"/>
    <w:pPr>
      <w:keepLines/>
      <w:spacing w:before="240" w:after="120"/>
      <w:outlineLvl w:val="1"/>
    </w:pPr>
    <w:rPr>
      <w:sz w:val="28"/>
      <w:szCs w:val="40"/>
    </w:rPr>
  </w:style>
  <w:style w:type="paragraph" w:styleId="Heading3">
    <w:name w:val="heading 3"/>
    <w:basedOn w:val="HeadingBase"/>
    <w:next w:val="BodyText"/>
    <w:link w:val="Heading3Char"/>
    <w:qFormat/>
    <w:rsid w:val="00EF6CC7"/>
    <w:pPr>
      <w:spacing w:before="180" w:after="120"/>
      <w:outlineLvl w:val="2"/>
    </w:pPr>
    <w:rPr>
      <w:spacing w:val="-10"/>
      <w:kern w:val="32"/>
    </w:rPr>
  </w:style>
  <w:style w:type="paragraph" w:styleId="Heading4">
    <w:name w:val="heading 4"/>
    <w:basedOn w:val="HeadingBase"/>
    <w:next w:val="BodyText"/>
    <w:link w:val="Heading4Char"/>
    <w:qFormat/>
    <w:rsid w:val="00EF6CC7"/>
    <w:pPr>
      <w:spacing w:before="160" w:after="120"/>
      <w:outlineLvl w:val="3"/>
    </w:pPr>
    <w:rPr>
      <w:sz w:val="22"/>
    </w:rPr>
  </w:style>
  <w:style w:type="paragraph" w:styleId="Heading5">
    <w:name w:val="heading 5"/>
    <w:basedOn w:val="HeadingBase"/>
    <w:next w:val="Normal"/>
    <w:link w:val="Heading5Char"/>
    <w:qFormat/>
    <w:rsid w:val="00EF6CC7"/>
    <w:pPr>
      <w:spacing w:before="80"/>
      <w:outlineLvl w:val="4"/>
    </w:pPr>
    <w:rPr>
      <w:color w:val="918585"/>
      <w:sz w:val="20"/>
    </w:rPr>
  </w:style>
  <w:style w:type="paragraph" w:styleId="Heading6">
    <w:name w:val="heading 6"/>
    <w:basedOn w:val="HeadingBase"/>
    <w:next w:val="Normal"/>
    <w:link w:val="Heading6Char"/>
    <w:qFormat/>
    <w:rsid w:val="00EF6CC7"/>
    <w:pPr>
      <w:spacing w:before="60"/>
      <w:outlineLvl w:val="5"/>
    </w:pPr>
    <w:rPr>
      <w:color w:val="918585"/>
      <w:sz w:val="20"/>
    </w:rPr>
  </w:style>
  <w:style w:type="paragraph" w:styleId="Heading7">
    <w:name w:val="heading 7"/>
    <w:basedOn w:val="Normal"/>
    <w:next w:val="Normal"/>
    <w:link w:val="Heading7Char"/>
    <w:qFormat/>
    <w:rsid w:val="00EF6CC7"/>
    <w:pPr>
      <w:ind w:left="720"/>
      <w:outlineLvl w:val="6"/>
    </w:pPr>
    <w:rPr>
      <w:i/>
    </w:rPr>
  </w:style>
  <w:style w:type="paragraph" w:styleId="Heading8">
    <w:name w:val="heading 8"/>
    <w:basedOn w:val="Normal"/>
    <w:next w:val="Normal"/>
    <w:link w:val="Heading8Char"/>
    <w:qFormat/>
    <w:rsid w:val="00EF6CC7"/>
    <w:pPr>
      <w:ind w:left="720"/>
      <w:outlineLvl w:val="7"/>
    </w:pPr>
    <w:rPr>
      <w:i/>
    </w:rPr>
  </w:style>
  <w:style w:type="paragraph" w:styleId="Heading9">
    <w:name w:val="heading 9"/>
    <w:basedOn w:val="Normal"/>
    <w:next w:val="Normal"/>
    <w:link w:val="Heading9Char"/>
    <w:qFormat/>
    <w:rsid w:val="00EF6CC7"/>
    <w:pPr>
      <w:ind w:left="720"/>
      <w:outlineLvl w:val="8"/>
    </w:pPr>
    <w:rPr>
      <w:i/>
    </w:rPr>
  </w:style>
  <w:style w:type="character" w:default="1" w:styleId="DefaultParagraphFont">
    <w:name w:val="Default Paragraph Font"/>
    <w:uiPriority w:val="1"/>
    <w:unhideWhenUsed/>
    <w:rsid w:val="00EF6C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6CC7"/>
  </w:style>
  <w:style w:type="character" w:customStyle="1" w:styleId="Heading1Char">
    <w:name w:val="Heading 1 Char"/>
    <w:basedOn w:val="DefaultParagraphFont"/>
    <w:link w:val="Heading1"/>
    <w:rsid w:val="00EF6CC7"/>
    <w:rPr>
      <w:rFonts w:ascii="Times New Roman" w:eastAsia="Times New Roman" w:hAnsi="Times New Roman" w:cs="Times New Roman"/>
      <w:b/>
      <w:sz w:val="32"/>
      <w:szCs w:val="20"/>
      <w:lang w:eastAsia="en-US"/>
    </w:rPr>
  </w:style>
  <w:style w:type="paragraph" w:styleId="BodyText">
    <w:name w:val="Body Text"/>
    <w:basedOn w:val="Normal"/>
    <w:link w:val="BodyTextChar"/>
    <w:rsid w:val="00EF6CC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F6CC7"/>
    <w:rPr>
      <w:rFonts w:ascii="Times New Roman" w:eastAsia="Times New Roman" w:hAnsi="Times New Roman" w:cs="Times New Roman"/>
      <w:sz w:val="24"/>
      <w:lang w:eastAsia="en-US"/>
    </w:rPr>
  </w:style>
  <w:style w:type="paragraph" w:styleId="ListBullet">
    <w:name w:val="List Bullet"/>
    <w:basedOn w:val="List"/>
    <w:rsid w:val="00EF6CC7"/>
    <w:pPr>
      <w:numPr>
        <w:numId w:val="12"/>
      </w:numPr>
      <w:tabs>
        <w:tab w:val="clear" w:pos="340"/>
      </w:tabs>
      <w:spacing w:before="40" w:after="40"/>
    </w:pPr>
  </w:style>
  <w:style w:type="character" w:customStyle="1" w:styleId="SpecialBold">
    <w:name w:val="Special Bold"/>
    <w:basedOn w:val="DefaultParagraphFont"/>
    <w:rsid w:val="00EF6CC7"/>
    <w:rPr>
      <w:b/>
      <w:spacing w:val="0"/>
    </w:rPr>
  </w:style>
  <w:style w:type="paragraph" w:styleId="ListBullet2">
    <w:name w:val="List Bullet 2"/>
    <w:basedOn w:val="List2"/>
    <w:rsid w:val="00EF6CC7"/>
    <w:pPr>
      <w:numPr>
        <w:numId w:val="13"/>
      </w:numPr>
      <w:tabs>
        <w:tab w:val="clear" w:pos="680"/>
      </w:tabs>
    </w:pPr>
  </w:style>
  <w:style w:type="character" w:styleId="Emphasis">
    <w:name w:val="Emphasis"/>
    <w:basedOn w:val="DefaultParagraphFont"/>
    <w:qFormat/>
    <w:rsid w:val="00EF6CC7"/>
    <w:rPr>
      <w:i/>
    </w:rPr>
  </w:style>
  <w:style w:type="paragraph" w:customStyle="1" w:styleId="SuperHeading">
    <w:name w:val="SuperHeading"/>
    <w:basedOn w:val="Normal"/>
    <w:rsid w:val="00EF6CC7"/>
    <w:pPr>
      <w:spacing w:before="240" w:after="120"/>
      <w:outlineLvl w:val="0"/>
    </w:pPr>
    <w:rPr>
      <w:rFonts w:ascii="Times New Roman" w:hAnsi="Times New Roman"/>
      <w:b/>
      <w:sz w:val="32"/>
    </w:rPr>
  </w:style>
  <w:style w:type="paragraph" w:customStyle="1" w:styleId="AllowPageBreak">
    <w:name w:val="AllowPageBreak"/>
    <w:rsid w:val="00EF6CC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F6C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6C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6C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6C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6C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6CC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6CC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6CC7"/>
    <w:rPr>
      <w:rFonts w:ascii="Courier New" w:eastAsia="Times New Roman" w:hAnsi="Courier New" w:cs="Times New Roman"/>
      <w:i/>
      <w:szCs w:val="20"/>
      <w:lang w:eastAsia="en-US"/>
    </w:rPr>
  </w:style>
  <w:style w:type="paragraph" w:customStyle="1" w:styleId="HeadingBase">
    <w:name w:val="Heading Base"/>
    <w:rsid w:val="00EF6C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6CC7"/>
    <w:pPr>
      <w:tabs>
        <w:tab w:val="right" w:leader="dot" w:pos="9072"/>
      </w:tabs>
      <w:ind w:left="567"/>
    </w:pPr>
    <w:rPr>
      <w:szCs w:val="22"/>
    </w:rPr>
  </w:style>
  <w:style w:type="paragraph" w:customStyle="1" w:styleId="TOCBase">
    <w:name w:val="TOC Base"/>
    <w:rsid w:val="00EF6C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6CC7"/>
    <w:pPr>
      <w:tabs>
        <w:tab w:val="right" w:leader="dot" w:pos="9072"/>
      </w:tabs>
      <w:spacing w:before="40" w:after="40"/>
      <w:ind w:left="284"/>
    </w:pPr>
    <w:rPr>
      <w:rFonts w:ascii="Times New Roman" w:hAnsi="Times New Roman"/>
    </w:rPr>
  </w:style>
  <w:style w:type="paragraph" w:styleId="TOC1">
    <w:name w:val="toc 1"/>
    <w:basedOn w:val="TOCBase"/>
    <w:next w:val="Normal"/>
    <w:rsid w:val="00EF6CC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F6C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6CC7"/>
    <w:rPr>
      <w:rFonts w:ascii="Times New Roman" w:eastAsia="Times New Roman" w:hAnsi="Times New Roman" w:cs="Times New Roman"/>
      <w:sz w:val="16"/>
      <w:lang w:eastAsia="en-US"/>
    </w:rPr>
  </w:style>
  <w:style w:type="paragraph" w:styleId="Title">
    <w:name w:val="Title"/>
    <w:basedOn w:val="HeadingBase"/>
    <w:link w:val="TitleChar"/>
    <w:qFormat/>
    <w:rsid w:val="00EF6CC7"/>
    <w:pPr>
      <w:spacing w:before="5040"/>
      <w:jc w:val="center"/>
    </w:pPr>
    <w:rPr>
      <w:sz w:val="48"/>
      <w:szCs w:val="72"/>
      <w:lang w:val="en-US"/>
    </w:rPr>
  </w:style>
  <w:style w:type="character" w:customStyle="1" w:styleId="TitleChar">
    <w:name w:val="Title Char"/>
    <w:basedOn w:val="DefaultParagraphFont"/>
    <w:link w:val="Title"/>
    <w:rsid w:val="00EF6C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6CC7"/>
    <w:pPr>
      <w:tabs>
        <w:tab w:val="left" w:pos="3600"/>
        <w:tab w:val="left" w:pos="3958"/>
      </w:tabs>
    </w:pPr>
  </w:style>
  <w:style w:type="paragraph" w:styleId="List">
    <w:name w:val="List"/>
    <w:basedOn w:val="BodyText"/>
    <w:next w:val="BodyText"/>
    <w:rsid w:val="00EF6CC7"/>
    <w:pPr>
      <w:tabs>
        <w:tab w:val="left" w:pos="340"/>
      </w:tabs>
      <w:spacing w:before="60" w:after="60"/>
      <w:ind w:left="340" w:hanging="340"/>
    </w:pPr>
  </w:style>
  <w:style w:type="paragraph" w:customStyle="1" w:styleId="Note">
    <w:name w:val="Note"/>
    <w:basedOn w:val="BodyText"/>
    <w:rsid w:val="00EF6C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6CC7"/>
    <w:pPr>
      <w:framePr w:wrap="auto" w:hAnchor="text" w:y="6049"/>
    </w:pPr>
    <w:rPr>
      <w:color w:val="000000"/>
      <w:sz w:val="40"/>
    </w:rPr>
  </w:style>
  <w:style w:type="paragraph" w:customStyle="1" w:styleId="TOCTitle">
    <w:name w:val="TOCTitle"/>
    <w:basedOn w:val="Heading1"/>
    <w:rsid w:val="00EF6CC7"/>
    <w:pPr>
      <w:spacing w:after="240"/>
      <w:jc w:val="center"/>
      <w:outlineLvl w:val="9"/>
    </w:pPr>
    <w:rPr>
      <w:caps/>
    </w:rPr>
  </w:style>
  <w:style w:type="paragraph" w:customStyle="1" w:styleId="Version">
    <w:name w:val="Version"/>
    <w:rsid w:val="00EF6CC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F6CC7"/>
    <w:pPr>
      <w:keepNext w:val="0"/>
      <w:tabs>
        <w:tab w:val="right" w:pos="4176"/>
      </w:tabs>
      <w:ind w:left="198" w:hanging="198"/>
    </w:pPr>
    <w:rPr>
      <w:rFonts w:ascii="Garamond" w:hAnsi="Garamond"/>
    </w:rPr>
  </w:style>
  <w:style w:type="paragraph" w:styleId="IndexHeading">
    <w:name w:val="index heading"/>
    <w:basedOn w:val="Normal"/>
    <w:next w:val="Index1"/>
    <w:semiHidden/>
    <w:rsid w:val="00EF6CC7"/>
    <w:pPr>
      <w:spacing w:before="120" w:after="120"/>
    </w:pPr>
    <w:rPr>
      <w:rFonts w:ascii="Arial" w:hAnsi="Arial"/>
      <w:b/>
      <w:color w:val="918585"/>
      <w:sz w:val="24"/>
    </w:rPr>
  </w:style>
  <w:style w:type="paragraph" w:styleId="Header">
    <w:name w:val="header"/>
    <w:basedOn w:val="Normal"/>
    <w:link w:val="HeaderChar"/>
    <w:rsid w:val="00EF6C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6CC7"/>
    <w:rPr>
      <w:rFonts w:ascii="Times New Roman" w:eastAsia="Times New Roman" w:hAnsi="Times New Roman" w:cs="Times New Roman"/>
      <w:sz w:val="16"/>
      <w:szCs w:val="20"/>
      <w:lang w:val="en-GB" w:eastAsia="en-US"/>
    </w:rPr>
  </w:style>
  <w:style w:type="paragraph" w:customStyle="1" w:styleId="Chapter">
    <w:name w:val="Chapter"/>
    <w:basedOn w:val="Normal"/>
    <w:rsid w:val="00EF6CC7"/>
    <w:pPr>
      <w:spacing w:before="240"/>
    </w:pPr>
    <w:rPr>
      <w:rFonts w:ascii="Times New Roman" w:hAnsi="Times New Roman"/>
      <w:smallCaps/>
      <w:spacing w:val="80"/>
      <w:sz w:val="28"/>
    </w:rPr>
  </w:style>
  <w:style w:type="paragraph" w:customStyle="1" w:styleId="InChapter">
    <w:name w:val="InChapter"/>
    <w:basedOn w:val="Heading3"/>
    <w:rsid w:val="00EF6CC7"/>
    <w:pPr>
      <w:spacing w:after="240"/>
      <w:outlineLvl w:val="9"/>
    </w:pPr>
    <w:rPr>
      <w:noProof/>
    </w:rPr>
  </w:style>
  <w:style w:type="paragraph" w:styleId="Index2">
    <w:name w:val="index 2"/>
    <w:basedOn w:val="Normal"/>
    <w:next w:val="Normal"/>
    <w:semiHidden/>
    <w:rsid w:val="00EF6CC7"/>
    <w:pPr>
      <w:tabs>
        <w:tab w:val="right" w:pos="4176"/>
      </w:tabs>
      <w:ind w:left="568" w:hanging="284"/>
    </w:pPr>
    <w:rPr>
      <w:rFonts w:ascii="Garamond" w:hAnsi="Garamond"/>
    </w:rPr>
  </w:style>
  <w:style w:type="paragraph" w:customStyle="1" w:styleId="Byline">
    <w:name w:val="Byline"/>
    <w:rsid w:val="00EF6C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6CC7"/>
    <w:pPr>
      <w:tabs>
        <w:tab w:val="clear" w:pos="3600"/>
        <w:tab w:val="clear" w:pos="3958"/>
      </w:tabs>
      <w:jc w:val="right"/>
    </w:pPr>
  </w:style>
  <w:style w:type="paragraph" w:styleId="Caption">
    <w:name w:val="caption"/>
    <w:basedOn w:val="BodyText"/>
    <w:next w:val="Normal"/>
    <w:qFormat/>
    <w:rsid w:val="00EF6CC7"/>
    <w:pPr>
      <w:framePr w:w="2268" w:hSpace="181" w:vSpace="181" w:wrap="around" w:vAnchor="text" w:hAnchor="page" w:x="1135" w:y="285" w:anchorLock="1"/>
    </w:pPr>
    <w:rPr>
      <w:i/>
    </w:rPr>
  </w:style>
  <w:style w:type="paragraph" w:customStyle="1" w:styleId="MiniTOCTitle">
    <w:name w:val="MiniTOCTitle"/>
    <w:basedOn w:val="Heading4"/>
    <w:rsid w:val="00EF6CC7"/>
    <w:pPr>
      <w:spacing w:before="240"/>
      <w:outlineLvl w:val="9"/>
    </w:pPr>
    <w:rPr>
      <w:noProof/>
      <w:sz w:val="24"/>
    </w:rPr>
  </w:style>
  <w:style w:type="paragraph" w:customStyle="1" w:styleId="MiniTOCItem">
    <w:name w:val="MiniTOCItem"/>
    <w:basedOn w:val="ListBullet"/>
    <w:rsid w:val="00EF6CC7"/>
    <w:pPr>
      <w:numPr>
        <w:numId w:val="0"/>
      </w:numPr>
      <w:tabs>
        <w:tab w:val="right" w:leader="dot" w:pos="6521"/>
      </w:tabs>
      <w:spacing w:before="0" w:after="0"/>
    </w:pPr>
  </w:style>
  <w:style w:type="paragraph" w:customStyle="1" w:styleId="TOFTitle">
    <w:name w:val="TOFTitle"/>
    <w:basedOn w:val="TOCTitle"/>
    <w:rsid w:val="00EF6CC7"/>
  </w:style>
  <w:style w:type="paragraph" w:styleId="TableofFigures">
    <w:name w:val="table of figures"/>
    <w:basedOn w:val="Normal"/>
    <w:next w:val="Normal"/>
    <w:semiHidden/>
    <w:rsid w:val="00EF6CC7"/>
    <w:pPr>
      <w:tabs>
        <w:tab w:val="right" w:leader="dot" w:pos="9072"/>
      </w:tabs>
      <w:ind w:left="970" w:hanging="403"/>
    </w:pPr>
    <w:rPr>
      <w:rFonts w:ascii="Times New Roman" w:hAnsi="Times New Roman"/>
      <w:b/>
    </w:rPr>
  </w:style>
  <w:style w:type="paragraph" w:styleId="ListNumber">
    <w:name w:val="List Number"/>
    <w:basedOn w:val="List"/>
    <w:rsid w:val="00EF6CC7"/>
    <w:pPr>
      <w:numPr>
        <w:numId w:val="15"/>
      </w:numPr>
      <w:tabs>
        <w:tab w:val="clear" w:pos="340"/>
      </w:tabs>
    </w:pPr>
  </w:style>
  <w:style w:type="character" w:customStyle="1" w:styleId="WingdingSymbols">
    <w:name w:val="Wingding Symbols"/>
    <w:rsid w:val="00EF6CC7"/>
    <w:rPr>
      <w:rFonts w:ascii="Wingdings" w:hAnsi="Wingdings"/>
    </w:rPr>
  </w:style>
  <w:style w:type="paragraph" w:customStyle="1" w:styleId="TableHeading">
    <w:name w:val="Table Heading"/>
    <w:basedOn w:val="HeadingBase"/>
    <w:rsid w:val="00EF6CC7"/>
    <w:pPr>
      <w:keepLines/>
      <w:pBdr>
        <w:bottom w:val="single" w:sz="6" w:space="1" w:color="918585"/>
      </w:pBdr>
      <w:spacing w:before="240"/>
    </w:pPr>
  </w:style>
  <w:style w:type="character" w:customStyle="1" w:styleId="HotSpot">
    <w:name w:val="HotSpot"/>
    <w:rsid w:val="00EF6CC7"/>
    <w:rPr>
      <w:color w:val="0033CC"/>
      <w:u w:val="none"/>
    </w:rPr>
  </w:style>
  <w:style w:type="paragraph" w:customStyle="1" w:styleId="BodyTextRight">
    <w:name w:val="Body Text Right"/>
    <w:basedOn w:val="BodyText"/>
    <w:rsid w:val="00EF6CC7"/>
    <w:pPr>
      <w:spacing w:before="0" w:after="0"/>
      <w:jc w:val="right"/>
    </w:pPr>
  </w:style>
  <w:style w:type="paragraph" w:styleId="Index3">
    <w:name w:val="index 3"/>
    <w:basedOn w:val="ListNumber2"/>
    <w:next w:val="Normal"/>
    <w:semiHidden/>
    <w:rsid w:val="00EF6CC7"/>
    <w:pPr>
      <w:numPr>
        <w:numId w:val="0"/>
      </w:numPr>
      <w:tabs>
        <w:tab w:val="right" w:leader="dot" w:pos="4176"/>
      </w:tabs>
    </w:pPr>
  </w:style>
  <w:style w:type="paragraph" w:styleId="ListNumber2">
    <w:name w:val="List Number 2"/>
    <w:basedOn w:val="List2"/>
    <w:rsid w:val="00EF6CC7"/>
    <w:pPr>
      <w:numPr>
        <w:numId w:val="10"/>
      </w:numPr>
      <w:tabs>
        <w:tab w:val="clear" w:pos="1060"/>
      </w:tabs>
    </w:pPr>
  </w:style>
  <w:style w:type="paragraph" w:customStyle="1" w:styleId="MarginNote">
    <w:name w:val="Margin Note"/>
    <w:basedOn w:val="BodyText"/>
    <w:rsid w:val="00EF6C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6C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6CC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6CC7"/>
    <w:rPr>
      <w:sz w:val="32"/>
    </w:rPr>
  </w:style>
  <w:style w:type="paragraph" w:customStyle="1" w:styleId="HeadingProcedure">
    <w:name w:val="Heading Procedure"/>
    <w:basedOn w:val="HeadingBase"/>
    <w:next w:val="Normal"/>
    <w:rsid w:val="00EF6CC7"/>
    <w:pPr>
      <w:tabs>
        <w:tab w:val="left" w:pos="0"/>
      </w:tabs>
      <w:spacing w:before="120" w:after="60"/>
    </w:pPr>
    <w:rPr>
      <w:i/>
      <w:color w:val="918585"/>
      <w:sz w:val="22"/>
    </w:rPr>
  </w:style>
  <w:style w:type="paragraph" w:customStyle="1" w:styleId="TableBodyText">
    <w:name w:val="Table Body Text"/>
    <w:basedOn w:val="BodyText"/>
    <w:rsid w:val="00EF6CC7"/>
    <w:pPr>
      <w:spacing w:before="60" w:after="60"/>
    </w:pPr>
  </w:style>
  <w:style w:type="paragraph" w:styleId="ListContinue">
    <w:name w:val="List Continue"/>
    <w:basedOn w:val="List"/>
    <w:rsid w:val="00EF6CC7"/>
    <w:pPr>
      <w:ind w:firstLine="0"/>
    </w:pPr>
  </w:style>
  <w:style w:type="paragraph" w:customStyle="1" w:styleId="ListNote">
    <w:name w:val="List Note"/>
    <w:basedOn w:val="List"/>
    <w:rsid w:val="00EF6CC7"/>
    <w:pPr>
      <w:pBdr>
        <w:top w:val="single" w:sz="6" w:space="2" w:color="918585"/>
        <w:bottom w:val="single" w:sz="6" w:space="2" w:color="918585"/>
      </w:pBdr>
      <w:tabs>
        <w:tab w:val="left" w:pos="1021"/>
      </w:tabs>
      <w:ind w:firstLine="0"/>
    </w:pPr>
  </w:style>
  <w:style w:type="paragraph" w:customStyle="1" w:styleId="Warning">
    <w:name w:val="Warning"/>
    <w:basedOn w:val="BodyText"/>
    <w:rsid w:val="00EF6CC7"/>
    <w:pPr>
      <w:shd w:val="clear" w:color="auto" w:fill="D9D9D9"/>
      <w:tabs>
        <w:tab w:val="left" w:pos="992"/>
      </w:tabs>
      <w:ind w:left="119" w:right="119"/>
    </w:pPr>
    <w:rPr>
      <w:sz w:val="20"/>
    </w:rPr>
  </w:style>
  <w:style w:type="paragraph" w:customStyle="1" w:styleId="MarginIcons">
    <w:name w:val="Margin Icons"/>
    <w:basedOn w:val="BodyText"/>
    <w:rsid w:val="00EF6C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6CC7"/>
    <w:rPr>
      <w:rFonts w:ascii="Courier New" w:hAnsi="Courier New"/>
    </w:rPr>
  </w:style>
  <w:style w:type="paragraph" w:customStyle="1" w:styleId="NoteBullet">
    <w:name w:val="Note Bullet"/>
    <w:basedOn w:val="Note"/>
    <w:rsid w:val="00EF6CC7"/>
    <w:pPr>
      <w:tabs>
        <w:tab w:val="clear" w:pos="680"/>
      </w:tabs>
      <w:spacing w:before="60" w:after="60"/>
    </w:pPr>
  </w:style>
  <w:style w:type="paragraph" w:customStyle="1" w:styleId="SubHeading2">
    <w:name w:val="SubHeading2"/>
    <w:basedOn w:val="HeadingBase"/>
    <w:rsid w:val="00EF6CC7"/>
    <w:pPr>
      <w:spacing w:before="240" w:after="60"/>
    </w:pPr>
    <w:rPr>
      <w:sz w:val="20"/>
    </w:rPr>
  </w:style>
  <w:style w:type="paragraph" w:customStyle="1" w:styleId="SubHeading1">
    <w:name w:val="SubHeading1"/>
    <w:basedOn w:val="HeadingBase"/>
    <w:rsid w:val="00EF6CC7"/>
    <w:pPr>
      <w:spacing w:before="240" w:after="60"/>
    </w:pPr>
    <w:rPr>
      <w:color w:val="918585"/>
      <w:sz w:val="22"/>
    </w:rPr>
  </w:style>
  <w:style w:type="paragraph" w:customStyle="1" w:styleId="SideHeading">
    <w:name w:val="Side Heading"/>
    <w:basedOn w:val="HeadingBase"/>
    <w:rsid w:val="00EF6C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6CC7"/>
    <w:pPr>
      <w:tabs>
        <w:tab w:val="num" w:pos="360"/>
      </w:tabs>
    </w:pPr>
  </w:style>
  <w:style w:type="paragraph" w:styleId="PlainText">
    <w:name w:val="Plain Text"/>
    <w:basedOn w:val="Normal"/>
    <w:link w:val="PlainTextChar"/>
    <w:rsid w:val="00EF6CC7"/>
    <w:rPr>
      <w:sz w:val="20"/>
    </w:rPr>
  </w:style>
  <w:style w:type="character" w:customStyle="1" w:styleId="PlainTextChar">
    <w:name w:val="Plain Text Char"/>
    <w:basedOn w:val="DefaultParagraphFont"/>
    <w:link w:val="PlainText"/>
    <w:rsid w:val="00EF6CC7"/>
    <w:rPr>
      <w:rFonts w:ascii="Courier New" w:eastAsia="Times New Roman" w:hAnsi="Courier New" w:cs="Times New Roman"/>
      <w:sz w:val="20"/>
      <w:szCs w:val="20"/>
      <w:lang w:eastAsia="en-US"/>
    </w:rPr>
  </w:style>
  <w:style w:type="character" w:customStyle="1" w:styleId="MenuOption">
    <w:name w:val="Menu Option"/>
    <w:basedOn w:val="DefaultParagraphFont"/>
    <w:rsid w:val="00EF6CC7"/>
    <w:rPr>
      <w:b/>
      <w:smallCaps/>
    </w:rPr>
  </w:style>
  <w:style w:type="paragraph" w:customStyle="1" w:styleId="TableListNumber">
    <w:name w:val="Table List Number"/>
    <w:basedOn w:val="ListNumber"/>
    <w:rsid w:val="00EF6CC7"/>
    <w:pPr>
      <w:numPr>
        <w:numId w:val="0"/>
      </w:numPr>
    </w:pPr>
  </w:style>
  <w:style w:type="paragraph" w:styleId="TOC4">
    <w:name w:val="toc 4"/>
    <w:basedOn w:val="TOCBase"/>
    <w:next w:val="Normal"/>
    <w:semiHidden/>
    <w:rsid w:val="00EF6CC7"/>
    <w:pPr>
      <w:tabs>
        <w:tab w:val="right" w:leader="dot" w:pos="9071"/>
      </w:tabs>
      <w:ind w:left="1701"/>
    </w:pPr>
  </w:style>
  <w:style w:type="paragraph" w:customStyle="1" w:styleId="ListAlpha">
    <w:name w:val="List Alpha"/>
    <w:basedOn w:val="List"/>
    <w:rsid w:val="00EF6CC7"/>
    <w:pPr>
      <w:numPr>
        <w:numId w:val="9"/>
      </w:numPr>
    </w:pPr>
  </w:style>
  <w:style w:type="paragraph" w:customStyle="1" w:styleId="ListAlpha2">
    <w:name w:val="List Alpha 2"/>
    <w:basedOn w:val="List2"/>
    <w:rsid w:val="00EF6CC7"/>
    <w:pPr>
      <w:numPr>
        <w:numId w:val="8"/>
      </w:numPr>
    </w:pPr>
  </w:style>
  <w:style w:type="paragraph" w:styleId="List2">
    <w:name w:val="List 2"/>
    <w:basedOn w:val="BodyText"/>
    <w:rsid w:val="00EF6CC7"/>
    <w:pPr>
      <w:tabs>
        <w:tab w:val="left" w:pos="680"/>
      </w:tabs>
      <w:spacing w:before="60" w:after="60"/>
      <w:ind w:left="680" w:hanging="340"/>
    </w:pPr>
  </w:style>
  <w:style w:type="paragraph" w:styleId="List3">
    <w:name w:val="List 3"/>
    <w:basedOn w:val="BodyText"/>
    <w:rsid w:val="00EF6CC7"/>
    <w:pPr>
      <w:tabs>
        <w:tab w:val="left" w:pos="1021"/>
      </w:tabs>
      <w:spacing w:before="60" w:after="60"/>
      <w:ind w:left="1020" w:hanging="340"/>
    </w:pPr>
  </w:style>
  <w:style w:type="paragraph" w:styleId="List4">
    <w:name w:val="List 4"/>
    <w:basedOn w:val="BodyText"/>
    <w:rsid w:val="00EF6CC7"/>
    <w:pPr>
      <w:tabs>
        <w:tab w:val="left" w:pos="1361"/>
      </w:tabs>
      <w:spacing w:before="60" w:after="60"/>
      <w:ind w:left="1361" w:hanging="340"/>
    </w:pPr>
  </w:style>
  <w:style w:type="paragraph" w:styleId="List5">
    <w:name w:val="List 5"/>
    <w:basedOn w:val="BodyText"/>
    <w:rsid w:val="00EF6CC7"/>
    <w:pPr>
      <w:tabs>
        <w:tab w:val="left" w:pos="1701"/>
      </w:tabs>
      <w:spacing w:before="60" w:after="60"/>
      <w:ind w:left="1701" w:hanging="340"/>
    </w:pPr>
  </w:style>
  <w:style w:type="paragraph" w:styleId="ListBullet3">
    <w:name w:val="List Bullet 3"/>
    <w:basedOn w:val="List3"/>
    <w:rsid w:val="00EF6CC7"/>
    <w:pPr>
      <w:numPr>
        <w:numId w:val="14"/>
      </w:numPr>
      <w:tabs>
        <w:tab w:val="clear" w:pos="1021"/>
      </w:tabs>
      <w:ind w:left="1037" w:hanging="357"/>
    </w:pPr>
  </w:style>
  <w:style w:type="paragraph" w:styleId="ListBullet4">
    <w:name w:val="List Bullet 4"/>
    <w:basedOn w:val="List4"/>
    <w:rsid w:val="00EF6CC7"/>
    <w:pPr>
      <w:numPr>
        <w:numId w:val="3"/>
      </w:numPr>
      <w:tabs>
        <w:tab w:val="clear" w:pos="1361"/>
      </w:tabs>
    </w:pPr>
  </w:style>
  <w:style w:type="paragraph" w:styleId="ListBullet5">
    <w:name w:val="List Bullet 5"/>
    <w:basedOn w:val="List5"/>
    <w:rsid w:val="00EF6CC7"/>
    <w:pPr>
      <w:numPr>
        <w:numId w:val="4"/>
      </w:numPr>
    </w:pPr>
  </w:style>
  <w:style w:type="paragraph" w:styleId="ListContinue2">
    <w:name w:val="List Continue 2"/>
    <w:basedOn w:val="List2"/>
    <w:rsid w:val="00EF6CC7"/>
    <w:pPr>
      <w:ind w:firstLine="0"/>
    </w:pPr>
  </w:style>
  <w:style w:type="paragraph" w:styleId="ListContinue3">
    <w:name w:val="List Continue 3"/>
    <w:basedOn w:val="List3"/>
    <w:rsid w:val="00EF6CC7"/>
    <w:pPr>
      <w:ind w:left="1021" w:firstLine="0"/>
    </w:pPr>
  </w:style>
  <w:style w:type="paragraph" w:styleId="ListContinue4">
    <w:name w:val="List Continue 4"/>
    <w:basedOn w:val="List4"/>
    <w:rsid w:val="00EF6CC7"/>
    <w:pPr>
      <w:ind w:firstLine="0"/>
    </w:pPr>
  </w:style>
  <w:style w:type="paragraph" w:styleId="ListContinue5">
    <w:name w:val="List Continue 5"/>
    <w:basedOn w:val="List5"/>
    <w:rsid w:val="00EF6CC7"/>
    <w:pPr>
      <w:ind w:firstLine="0"/>
    </w:pPr>
  </w:style>
  <w:style w:type="paragraph" w:styleId="ListNumber3">
    <w:name w:val="List Number 3"/>
    <w:basedOn w:val="List3"/>
    <w:rsid w:val="00EF6CC7"/>
    <w:pPr>
      <w:numPr>
        <w:numId w:val="5"/>
      </w:numPr>
    </w:pPr>
  </w:style>
  <w:style w:type="paragraph" w:styleId="ListNumber4">
    <w:name w:val="List Number 4"/>
    <w:basedOn w:val="List4"/>
    <w:rsid w:val="00EF6CC7"/>
    <w:pPr>
      <w:numPr>
        <w:numId w:val="6"/>
      </w:numPr>
    </w:pPr>
  </w:style>
  <w:style w:type="paragraph" w:styleId="ListNumber5">
    <w:name w:val="List Number 5"/>
    <w:basedOn w:val="List5"/>
    <w:rsid w:val="00EF6CC7"/>
    <w:pPr>
      <w:numPr>
        <w:numId w:val="7"/>
      </w:numPr>
    </w:pPr>
  </w:style>
  <w:style w:type="paragraph" w:styleId="BlockText">
    <w:name w:val="Block Text"/>
    <w:basedOn w:val="Normal"/>
    <w:rsid w:val="00EF6CC7"/>
    <w:pPr>
      <w:spacing w:after="120"/>
      <w:ind w:left="1440" w:right="1440"/>
    </w:pPr>
  </w:style>
  <w:style w:type="character" w:customStyle="1" w:styleId="Subscript">
    <w:name w:val="Subscript"/>
    <w:basedOn w:val="DefaultParagraphFont"/>
    <w:rsid w:val="00EF6CC7"/>
    <w:rPr>
      <w:sz w:val="16"/>
      <w:vertAlign w:val="subscript"/>
    </w:rPr>
  </w:style>
  <w:style w:type="character" w:customStyle="1" w:styleId="Superscript">
    <w:name w:val="Superscript"/>
    <w:basedOn w:val="DefaultParagraphFont"/>
    <w:rsid w:val="00EF6CC7"/>
    <w:rPr>
      <w:sz w:val="16"/>
      <w:vertAlign w:val="superscript"/>
    </w:rPr>
  </w:style>
  <w:style w:type="character" w:customStyle="1" w:styleId="Symbols">
    <w:name w:val="Symbols"/>
    <w:basedOn w:val="DefaultParagraphFont"/>
    <w:rsid w:val="00EF6CC7"/>
    <w:rPr>
      <w:rFonts w:ascii="Symbol" w:hAnsi="Symbol"/>
    </w:rPr>
  </w:style>
  <w:style w:type="character" w:customStyle="1" w:styleId="MenuOptions">
    <w:name w:val="Menu Options"/>
    <w:basedOn w:val="DefaultParagraphFont"/>
    <w:rsid w:val="00EF6CC7"/>
    <w:rPr>
      <w:rFonts w:ascii="Arial Narrow" w:hAnsi="Arial Narrow"/>
      <w:smallCaps/>
    </w:rPr>
  </w:style>
  <w:style w:type="character" w:customStyle="1" w:styleId="Buttons">
    <w:name w:val="Buttons"/>
    <w:basedOn w:val="DefaultParagraphFont"/>
    <w:rsid w:val="00EF6CC7"/>
    <w:rPr>
      <w:b/>
    </w:rPr>
  </w:style>
  <w:style w:type="character" w:customStyle="1" w:styleId="Underlined">
    <w:name w:val="Underlined"/>
    <w:basedOn w:val="DefaultParagraphFont"/>
    <w:rsid w:val="00EF6CC7"/>
    <w:rPr>
      <w:u w:val="single"/>
    </w:rPr>
  </w:style>
  <w:style w:type="paragraph" w:customStyle="1" w:styleId="TableBodyTextRight">
    <w:name w:val="Table Body Text Right"/>
    <w:basedOn w:val="TableBodyText"/>
    <w:rsid w:val="00EF6CC7"/>
    <w:pPr>
      <w:widowControl w:val="0"/>
      <w:autoSpaceDE w:val="0"/>
      <w:autoSpaceDN w:val="0"/>
      <w:adjustRightInd w:val="0"/>
      <w:jc w:val="right"/>
    </w:pPr>
    <w:rPr>
      <w:rFonts w:cs="Arial"/>
      <w:szCs w:val="18"/>
    </w:rPr>
  </w:style>
  <w:style w:type="paragraph" w:customStyle="1" w:styleId="CopyrightText">
    <w:name w:val="Copyright Text"/>
    <w:basedOn w:val="BodyText"/>
    <w:rsid w:val="00EF6CC7"/>
    <w:rPr>
      <w:sz w:val="18"/>
    </w:rPr>
  </w:style>
  <w:style w:type="paragraph" w:customStyle="1" w:styleId="BodySmallRight">
    <w:name w:val="Body Small Right"/>
    <w:basedOn w:val="BodyTextRight"/>
    <w:rsid w:val="00EF6CC7"/>
    <w:rPr>
      <w:sz w:val="18"/>
      <w:szCs w:val="18"/>
    </w:rPr>
  </w:style>
  <w:style w:type="paragraph" w:customStyle="1" w:styleId="MarginEdition">
    <w:name w:val="Margin Edition"/>
    <w:basedOn w:val="MarginNote"/>
    <w:rsid w:val="00EF6CC7"/>
    <w:pPr>
      <w:spacing w:before="0" w:after="0"/>
    </w:pPr>
    <w:rPr>
      <w:rFonts w:ascii="Times New Roman" w:hAnsi="Times New Roman"/>
      <w:color w:val="999999"/>
    </w:rPr>
  </w:style>
  <w:style w:type="paragraph" w:customStyle="1" w:styleId="Spacer">
    <w:name w:val="Spacer"/>
    <w:basedOn w:val="Normal"/>
    <w:rsid w:val="00EF6CC7"/>
    <w:rPr>
      <w:sz w:val="2"/>
      <w:szCs w:val="2"/>
    </w:rPr>
  </w:style>
  <w:style w:type="character" w:customStyle="1" w:styleId="Small">
    <w:name w:val="Small"/>
    <w:basedOn w:val="DefaultParagraphFont"/>
    <w:rsid w:val="00EF6CC7"/>
    <w:rPr>
      <w:sz w:val="16"/>
    </w:rPr>
  </w:style>
  <w:style w:type="paragraph" w:customStyle="1" w:styleId="WideTable">
    <w:name w:val="Wide Table"/>
    <w:basedOn w:val="Normal"/>
    <w:rsid w:val="00EF6CC7"/>
    <w:pPr>
      <w:ind w:left="-1418"/>
    </w:pPr>
    <w:rPr>
      <w:sz w:val="2"/>
      <w:szCs w:val="2"/>
    </w:rPr>
  </w:style>
  <w:style w:type="character" w:styleId="PageNumber">
    <w:name w:val="page number"/>
    <w:basedOn w:val="DefaultParagraphFont"/>
    <w:rsid w:val="00EF6CC7"/>
  </w:style>
  <w:style w:type="paragraph" w:styleId="Quote">
    <w:name w:val="Quote"/>
    <w:basedOn w:val="Heading1"/>
    <w:link w:val="QuoteChar"/>
    <w:qFormat/>
    <w:rsid w:val="00EF6CC7"/>
    <w:rPr>
      <w:b w:val="0"/>
      <w:sz w:val="72"/>
      <w:szCs w:val="72"/>
      <w:lang w:val="en-NZ"/>
    </w:rPr>
  </w:style>
  <w:style w:type="character" w:customStyle="1" w:styleId="QuoteChar">
    <w:name w:val="Quote Char"/>
    <w:basedOn w:val="DefaultParagraphFont"/>
    <w:link w:val="Quote"/>
    <w:rsid w:val="00EF6C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6CC7"/>
    <w:pPr>
      <w:pageBreakBefore/>
    </w:pPr>
  </w:style>
  <w:style w:type="paragraph" w:customStyle="1" w:styleId="Border">
    <w:name w:val="Border"/>
    <w:basedOn w:val="Normal"/>
    <w:qFormat/>
    <w:rsid w:val="00EF6C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6CC7"/>
    <w:rPr>
      <w:b/>
      <w:bCs/>
      <w:i/>
      <w:iCs/>
      <w:color w:val="auto"/>
    </w:rPr>
  </w:style>
  <w:style w:type="paragraph" w:styleId="IntenseQuote">
    <w:name w:val="Intense Quote"/>
    <w:basedOn w:val="Normal"/>
    <w:next w:val="Normal"/>
    <w:link w:val="IntenseQuoteChar"/>
    <w:uiPriority w:val="30"/>
    <w:qFormat/>
    <w:rsid w:val="00EF6C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6CC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6CC7"/>
    <w:rPr>
      <w:smallCaps/>
      <w:color w:val="auto"/>
      <w:u w:val="single"/>
    </w:rPr>
  </w:style>
  <w:style w:type="character" w:styleId="IntenseReference">
    <w:name w:val="Intense Reference"/>
    <w:basedOn w:val="DefaultParagraphFont"/>
    <w:uiPriority w:val="32"/>
    <w:qFormat/>
    <w:rsid w:val="00EF6CC7"/>
    <w:rPr>
      <w:b/>
      <w:bCs/>
      <w:smallCaps/>
      <w:color w:val="auto"/>
      <w:spacing w:val="5"/>
      <w:u w:val="single"/>
    </w:rPr>
  </w:style>
  <w:style w:type="paragraph" w:customStyle="1" w:styleId="2ColumnHeading">
    <w:name w:val="2Column Heading"/>
    <w:basedOn w:val="BodyText"/>
    <w:qFormat/>
    <w:rsid w:val="00EF6CC7"/>
    <w:pPr>
      <w:spacing w:after="60"/>
      <w:ind w:left="-2268"/>
    </w:pPr>
    <w:rPr>
      <w:b/>
    </w:rPr>
  </w:style>
  <w:style w:type="paragraph" w:customStyle="1" w:styleId="Heading1TOC">
    <w:name w:val="Heading1 TOC"/>
    <w:basedOn w:val="Normal"/>
    <w:qFormat/>
    <w:rsid w:val="00EF6CC7"/>
    <w:pPr>
      <w:spacing w:before="240" w:after="120"/>
    </w:pPr>
    <w:rPr>
      <w:rFonts w:ascii="Times New Roman" w:hAnsi="Times New Roman"/>
      <w:b/>
      <w:sz w:val="32"/>
    </w:rPr>
  </w:style>
  <w:style w:type="paragraph" w:customStyle="1" w:styleId="Heading2TOC">
    <w:name w:val="Heading2 TOC"/>
    <w:basedOn w:val="Normal"/>
    <w:qFormat/>
    <w:rsid w:val="00EF6CC7"/>
    <w:pPr>
      <w:spacing w:before="240" w:after="60"/>
    </w:pPr>
    <w:rPr>
      <w:rFonts w:ascii="Times New Roman" w:hAnsi="Times New Roman"/>
      <w:b/>
      <w:sz w:val="28"/>
    </w:rPr>
  </w:style>
  <w:style w:type="character" w:customStyle="1" w:styleId="Underline">
    <w:name w:val="Underline"/>
    <w:basedOn w:val="DefaultParagraphFont"/>
    <w:qFormat/>
    <w:rsid w:val="00EF6CC7"/>
    <w:rPr>
      <w:u w:val="single"/>
    </w:rPr>
  </w:style>
  <w:style w:type="character" w:customStyle="1" w:styleId="BoldandItalics">
    <w:name w:val="Bold and Italics"/>
    <w:qFormat/>
    <w:rsid w:val="00EF6CC7"/>
    <w:rPr>
      <w:b/>
      <w:i/>
      <w:u w:val="none"/>
    </w:rPr>
  </w:style>
  <w:style w:type="paragraph" w:styleId="BalloonText">
    <w:name w:val="Balloon Text"/>
    <w:basedOn w:val="Normal"/>
    <w:link w:val="BalloonTextChar"/>
    <w:rsid w:val="00EF6CC7"/>
    <w:rPr>
      <w:rFonts w:ascii="Tahoma" w:hAnsi="Tahoma" w:cs="Tahoma"/>
      <w:sz w:val="16"/>
      <w:szCs w:val="16"/>
    </w:rPr>
  </w:style>
  <w:style w:type="character" w:customStyle="1" w:styleId="BalloonTextChar">
    <w:name w:val="Balloon Text Char"/>
    <w:basedOn w:val="DefaultParagraphFont"/>
    <w:link w:val="BalloonText"/>
    <w:rsid w:val="00EF6CC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6CC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F6CC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6CC7"/>
    <w:rPr>
      <w:b/>
      <w:color w:val="660033"/>
      <w:spacing w:val="0"/>
    </w:rPr>
  </w:style>
  <w:style w:type="paragraph" w:customStyle="1" w:styleId="Nameditemlist">
    <w:name w:val="Named item list"/>
    <w:basedOn w:val="BodyText"/>
    <w:qFormat/>
    <w:rsid w:val="00EF6CC7"/>
    <w:pPr>
      <w:tabs>
        <w:tab w:val="left" w:pos="2835"/>
      </w:tabs>
      <w:ind w:left="2835" w:hanging="2835"/>
    </w:pPr>
  </w:style>
  <w:style w:type="paragraph" w:customStyle="1" w:styleId="BodyTextnopadding">
    <w:name w:val="Body Text no padding"/>
    <w:basedOn w:val="BodyText"/>
    <w:qFormat/>
    <w:rsid w:val="00EF6CC7"/>
    <w:pPr>
      <w:spacing w:before="0" w:after="0"/>
    </w:pPr>
  </w:style>
  <w:style w:type="paragraph" w:customStyle="1" w:styleId="BodyTextBold">
    <w:name w:val="Body Text Bold"/>
    <w:basedOn w:val="BodyText"/>
    <w:qFormat/>
    <w:rsid w:val="00EF6CC7"/>
    <w:rPr>
      <w:b/>
    </w:rPr>
  </w:style>
  <w:style w:type="character" w:styleId="Hyperlink">
    <w:name w:val="Hyperlink"/>
    <w:basedOn w:val="DefaultParagraphFont"/>
    <w:uiPriority w:val="99"/>
    <w:unhideWhenUsed/>
    <w:rsid w:val="00DE3DA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1450</Words>
  <Characters>9978</Characters>
  <Application>Microsoft Office Word</Application>
  <DocSecurity>0</DocSecurity>
  <Lines>399</Lines>
  <Paragraphs>219</Paragraphs>
  <ScaleCrop>false</ScaleCrop>
  <Company>Author-it Software Corporation Ltd.</Company>
  <LinksUpToDate>false</LinksUpToDate>
  <CharactersWithSpaces>11209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MEM18007 Maintain and repair mechanical drives and mechanical transmission assemblies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2025-03-01T18:36:00Z</dcterms:created>
  <dcterms:modified xsi:type="dcterms:W3CDTF">2025-03-01T18:37:00Z</dcterms:modified>
</cp:coreProperties>
</file>