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FC4" w:rsidP="00C97F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MEM16010 Write reports</w:t>
      </w:r>
      <w:r>
        <w:fldChar w:fldCharType="end"/>
      </w:r>
    </w:p>
    <w:p w:rsidR="00C97FC4" w:rsidP="00C97FC4">
      <w:pPr>
        <w:pStyle w:val="Version"/>
        <w:sectPr w:rsidSect="00A75D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DB1" w:rsidP="00A75DB1">
      <w:pPr>
        <w:pStyle w:val="SuperHeading"/>
      </w:pPr>
      <w:r w:rsidRPr="00A75DB1">
        <w:t>MEM16010 Write reports</w:t>
      </w:r>
    </w:p>
    <w:p w:rsidR="00000000" w:rsidRPr="00A75DB1" w:rsidP="00A75DB1">
      <w:pPr>
        <w:pStyle w:val="Heading1"/>
      </w:pPr>
      <w:bookmarkStart w:id="1" w:name="O_947817"/>
      <w:bookmarkEnd w:id="1"/>
      <w:r w:rsidRPr="00A75DB1">
        <w:t>Modification History</w:t>
      </w:r>
    </w:p>
    <w:p w:rsidR="00000000" w:rsidRPr="00A75DB1" w:rsidP="00C97FC4">
      <w:pPr>
        <w:pStyle w:val="BodyText"/>
      </w:pPr>
      <w:r w:rsidRPr="00A75DB1">
        <w:t xml:space="preserve">Release 1. Supersedes and is equivalent to MEM16010A Write reports </w:t>
      </w:r>
    </w:p>
    <w:p w:rsidR="00000000" w:rsidRPr="00A75DB1" w:rsidP="00A75DB1">
      <w:pPr>
        <w:pStyle w:val="Heading1"/>
      </w:pPr>
      <w:bookmarkStart w:id="2" w:name="O_947825"/>
      <w:bookmarkEnd w:id="2"/>
      <w:r w:rsidRPr="00A75DB1">
        <w:t>Application</w:t>
      </w:r>
    </w:p>
    <w:p w:rsidR="00000000" w:rsidRPr="00A75DB1" w:rsidP="00C97FC4">
      <w:pPr>
        <w:pStyle w:val="BodyText"/>
      </w:pPr>
      <w:r w:rsidRPr="00A75DB1">
        <w:t>This unit of competency defines the skills and knowledge required to write technical or non-technical reports that include a basic level of analysis and/or res</w:t>
      </w:r>
      <w:r w:rsidRPr="00A75DB1">
        <w:t>earch.</w:t>
      </w:r>
    </w:p>
    <w:p w:rsidR="00000000" w:rsidRPr="00A75DB1" w:rsidP="00C97FC4">
      <w:pPr>
        <w:pStyle w:val="BodyText"/>
      </w:pPr>
      <w:r w:rsidRPr="00A75DB1">
        <w:t>The term report is used to denote any required written communication that goes beyond a simple recording of facts such as completion of a pro forma shift production schedule.</w:t>
      </w:r>
    </w:p>
    <w:p w:rsidR="00000000" w:rsidRPr="00A75DB1" w:rsidP="00C97FC4">
      <w:pPr>
        <w:pStyle w:val="BodyText"/>
      </w:pPr>
      <w:r w:rsidRPr="00A75DB1">
        <w:t>Conclusions and/or recommendations where required are based on prior resea</w:t>
      </w:r>
      <w:r w:rsidRPr="00A75DB1">
        <w:t>rch or analysis of data. The analysis and conclusions should be consistent with the level of skill and knowledge of an employee working at that level.</w:t>
      </w:r>
    </w:p>
    <w:p w:rsidR="00000000" w:rsidRPr="00A75DB1" w:rsidP="00C97FC4">
      <w:pPr>
        <w:pStyle w:val="BodyText"/>
      </w:pPr>
      <w:r w:rsidRPr="00A75DB1">
        <w:t xml:space="preserve">Where more than a simple level of data research and analysis is necessary to produce information for the </w:t>
      </w:r>
      <w:r w:rsidRPr="00A75DB1">
        <w:t>report, Unit MEM16009 Research and analyse engineering information should also be selected.</w:t>
      </w:r>
    </w:p>
    <w:p w:rsidR="00000000" w:rsidRPr="00A75DB1" w:rsidP="00C97FC4">
      <w:pPr>
        <w:pStyle w:val="BodyText"/>
      </w:pPr>
      <w:r w:rsidRPr="00A75DB1">
        <w:t>For preparation of simple technical reports, unit MEM16014 Report technical information should be selected.</w:t>
      </w:r>
    </w:p>
    <w:p w:rsidR="00000000" w:rsidRPr="00A75DB1" w:rsidP="00C97FC4">
      <w:pPr>
        <w:pStyle w:val="BodyText"/>
      </w:pPr>
      <w:r w:rsidRPr="00A75DB1">
        <w:t xml:space="preserve">No licensing, legislative or certification requirements </w:t>
      </w:r>
      <w:r w:rsidRPr="00A75DB1">
        <w:t xml:space="preserve">apply to this unit at the time of publication. </w:t>
      </w:r>
    </w:p>
    <w:p w:rsidR="00000000" w:rsidRPr="00A75DB1" w:rsidP="00A75DB1">
      <w:pPr>
        <w:pStyle w:val="BodyText"/>
      </w:pPr>
      <w:r w:rsidRPr="00A75DB1">
        <w:rPr>
          <w:rStyle w:val="SpecialBold"/>
        </w:rPr>
        <w:t>Band</w:t>
      </w:r>
      <w:r w:rsidRPr="00A75DB1">
        <w:t>:</w:t>
      </w:r>
      <w:r w:rsidRPr="00A75DB1">
        <w:tab/>
      </w:r>
      <w:r w:rsidRPr="00A75DB1">
        <w:rPr>
          <w:rStyle w:val="SpecialBold"/>
        </w:rPr>
        <w:t>B</w:t>
      </w:r>
    </w:p>
    <w:p w:rsidR="00000000" w:rsidRPr="00A75DB1" w:rsidP="00A75DB1">
      <w:pPr>
        <w:pStyle w:val="BodyText"/>
      </w:pPr>
      <w:r w:rsidRPr="00A75DB1">
        <w:rPr>
          <w:rStyle w:val="SpecialBold"/>
        </w:rPr>
        <w:t>Unit Weight</w:t>
      </w:r>
      <w:r w:rsidRPr="00A75DB1">
        <w:t>:</w:t>
      </w:r>
      <w:r w:rsidRPr="00A75DB1">
        <w:tab/>
      </w:r>
      <w:r w:rsidRPr="00A75DB1">
        <w:rPr>
          <w:rStyle w:val="SpecialBold"/>
        </w:rPr>
        <w:t>2</w:t>
      </w:r>
    </w:p>
    <w:p w:rsidR="00000000" w:rsidRPr="00A75DB1" w:rsidP="00A75DB1">
      <w:pPr>
        <w:pStyle w:val="AllowPageBreak"/>
      </w:pPr>
    </w:p>
    <w:p w:rsidR="00000000" w:rsidRPr="00A75DB1" w:rsidP="00A75DB1">
      <w:pPr>
        <w:pStyle w:val="Heading1"/>
      </w:pPr>
      <w:bookmarkStart w:id="3" w:name="O_947824"/>
      <w:bookmarkEnd w:id="3"/>
      <w:r w:rsidRPr="00A75DB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9"/>
        <w:gridCol w:w="6738"/>
      </w:tblGrid>
      <w:tr w:rsidTr="00A75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MEM14006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Plan work activities</w:t>
            </w:r>
          </w:p>
        </w:tc>
      </w:tr>
      <w:tr w:rsidTr="00A75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MEM13015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Work safely and effectively in manufacturing and engineering</w:t>
            </w:r>
          </w:p>
        </w:tc>
      </w:tr>
      <w:tr w:rsidTr="00A75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MEM16006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DB1" w:rsidP="00A75DB1">
            <w:pPr>
              <w:pStyle w:val="BodyText"/>
            </w:pPr>
            <w:r w:rsidRPr="00A75DB1">
              <w:t>Organise and communicate information</w:t>
            </w:r>
          </w:p>
        </w:tc>
      </w:tr>
    </w:tbl>
    <w:p w:rsidR="00000000" w:rsidRPr="00A75DB1" w:rsidP="00A75DB1">
      <w:pPr>
        <w:pStyle w:val="BodyText"/>
      </w:pPr>
    </w:p>
    <w:p w:rsidR="00000000" w:rsidRPr="00A75DB1" w:rsidP="00A75DB1">
      <w:pPr>
        <w:pStyle w:val="AllowPageBreak"/>
      </w:pPr>
    </w:p>
    <w:p w:rsidR="00000000" w:rsidRPr="00A75DB1" w:rsidP="00A75DB1">
      <w:pPr>
        <w:pStyle w:val="Heading1"/>
      </w:pPr>
      <w:bookmarkStart w:id="4" w:name="O_947823"/>
      <w:bookmarkEnd w:id="4"/>
      <w:r w:rsidRPr="00A75DB1">
        <w:t>Competency Field</w:t>
      </w:r>
    </w:p>
    <w:p w:rsidR="00000000" w:rsidRPr="00A75DB1" w:rsidP="00C97FC4">
      <w:pPr>
        <w:pStyle w:val="BodyText"/>
      </w:pPr>
      <w:r w:rsidRPr="00A75DB1">
        <w:t>Communication</w:t>
      </w:r>
    </w:p>
    <w:p w:rsidR="00000000" w:rsidRPr="00A75DB1" w:rsidP="00A75DB1">
      <w:pPr>
        <w:pStyle w:val="Heading1"/>
      </w:pPr>
      <w:bookmarkStart w:id="5" w:name="O_947821"/>
      <w:bookmarkEnd w:id="5"/>
      <w:r w:rsidRPr="00A75D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75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Performance criteria describe the performance needed to demonstrate achievement of the element.</w:t>
            </w:r>
          </w:p>
        </w:tc>
      </w:tr>
      <w:tr w:rsidTr="00A75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DB1" w:rsidP="00A75DB1">
            <w:pPr>
              <w:pStyle w:val="BodyText"/>
            </w:pPr>
            <w:r w:rsidRPr="00A75DB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rPr>
                <w:rStyle w:val="SpecialBold"/>
              </w:rPr>
              <w:t>Identify report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Follow standard operating procedures and comply with work health and safety (WHS) requirements at all times</w:t>
            </w:r>
          </w:p>
        </w:tc>
      </w:tr>
      <w:tr w:rsidTr="00A75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Identify requirements for a written report and confirm with appropriate persons</w:t>
            </w:r>
          </w:p>
        </w:tc>
      </w:tr>
      <w:tr w:rsidTr="00A75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Access information for the report according to workplace procedures</w:t>
            </w:r>
          </w:p>
        </w:tc>
      </w:tr>
      <w:tr w:rsidTr="00A75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Assess information for currency, accuracy and relevance for inclusion in the report</w:t>
            </w:r>
          </w:p>
        </w:tc>
      </w:tr>
      <w:tr w:rsidTr="00A75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</w:p>
        </w:tc>
      </w:tr>
      <w:tr w:rsidTr="00A75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DB1" w:rsidP="00A75DB1">
            <w:pPr>
              <w:pStyle w:val="BodyText"/>
            </w:pPr>
            <w:r w:rsidRPr="00A75DB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rPr>
                <w:rStyle w:val="SpecialBold"/>
              </w:rPr>
              <w:t>Prepare and produce report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Develop a structure and outline of the report according to identified report requirements</w:t>
            </w:r>
          </w:p>
        </w:tc>
      </w:tr>
      <w:tr w:rsidTr="00A75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Write the report using terminology appropriate to the reader and established principles of report writing</w:t>
            </w:r>
          </w:p>
        </w:tc>
      </w:tr>
      <w:tr w:rsidTr="00A75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Base findings and conclusions on factual analy</w:t>
            </w:r>
            <w:r w:rsidRPr="00A75DB1">
              <w:t>sis</w:t>
            </w:r>
          </w:p>
        </w:tc>
      </w:tr>
      <w:tr w:rsidTr="00A75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Give recommendations, alternatives/suggestions and supply supporting evidence, as required</w:t>
            </w:r>
          </w:p>
        </w:tc>
      </w:tr>
      <w:tr w:rsidTr="00A75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Apply protocols, conventions and legal requirements related to acknowledgements and intellectual property, where necessary</w:t>
            </w:r>
          </w:p>
        </w:tc>
      </w:tr>
      <w:tr w:rsidTr="00A75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</w:p>
        </w:tc>
      </w:tr>
      <w:tr w:rsidTr="00A75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DB1" w:rsidP="00A75DB1">
            <w:pPr>
              <w:pStyle w:val="BodyText"/>
            </w:pPr>
            <w:r w:rsidRPr="00A75DB1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rPr>
                <w:rStyle w:val="SpecialBold"/>
              </w:rPr>
              <w:t>Finalise and distribute report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Check the report for accuracy and edit, as required</w:t>
            </w:r>
          </w:p>
        </w:tc>
      </w:tr>
      <w:tr w:rsidTr="00A75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Ensure the completed report is consistent with objectives and requirements</w:t>
            </w:r>
          </w:p>
        </w:tc>
      </w:tr>
      <w:tr w:rsidTr="00A75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DB1" w:rsidP="00A75DB1">
            <w:pPr>
              <w:pStyle w:val="BodyText"/>
            </w:pPr>
            <w:r w:rsidRPr="00A75DB1">
              <w:t>Copy and distribute the report and store according to instructions and workplace procedures</w:t>
            </w:r>
          </w:p>
        </w:tc>
      </w:tr>
    </w:tbl>
    <w:p w:rsidR="00000000" w:rsidRPr="00A75DB1" w:rsidP="00A75DB1">
      <w:pPr>
        <w:pStyle w:val="BodyText"/>
      </w:pPr>
    </w:p>
    <w:p w:rsidR="00000000" w:rsidRPr="00A75DB1" w:rsidP="00A75DB1">
      <w:pPr>
        <w:pStyle w:val="AllowPageBreak"/>
      </w:pPr>
    </w:p>
    <w:p w:rsidR="00000000" w:rsidRPr="00A75DB1" w:rsidP="00A75DB1">
      <w:pPr>
        <w:pStyle w:val="Heading1"/>
      </w:pPr>
      <w:bookmarkStart w:id="6" w:name="O_947820"/>
      <w:bookmarkEnd w:id="6"/>
      <w:r w:rsidRPr="00A75DB1">
        <w:t>Foundation Skills</w:t>
      </w:r>
    </w:p>
    <w:p w:rsidR="00000000" w:rsidRPr="00A75DB1" w:rsidP="00C97FC4">
      <w:pPr>
        <w:pStyle w:val="BodyText"/>
      </w:pPr>
      <w:r w:rsidRPr="00A75DB1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75DB1" w:rsidP="00C97FC4">
      <w:pPr>
        <w:pStyle w:val="BodyText"/>
      </w:pPr>
      <w:r w:rsidRPr="00A75DB1">
        <w:t xml:space="preserve">Foundation skills essential to performance are explicit in the performance criteria </w:t>
      </w:r>
      <w:r w:rsidRPr="00A75DB1">
        <w:t>of this unit of competency.</w:t>
      </w:r>
    </w:p>
    <w:p w:rsidR="00000000" w:rsidRPr="00A75DB1" w:rsidP="00A75DB1">
      <w:pPr>
        <w:pStyle w:val="Heading1"/>
      </w:pPr>
      <w:bookmarkStart w:id="7" w:name="O_947819"/>
      <w:bookmarkEnd w:id="7"/>
      <w:r w:rsidRPr="00A75DB1">
        <w:t>Range of Conditions</w:t>
      </w:r>
    </w:p>
    <w:tbl>
      <w:tblPr>
        <w:tblW w:w="928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4"/>
        <w:gridCol w:w="6228"/>
        <w:gridCol w:w="335"/>
      </w:tblGrid>
      <w:tr w:rsidTr="00A75DB1">
        <w:tblPrEx>
          <w:tblW w:w="928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t>This field allows for different work environments and conditions that may affect performance. Essential operating conditions that may be present (depending on the work situation, needs of the</w:t>
            </w:r>
            <w:r w:rsidRPr="00A75DB1">
              <w:t xml:space="preserve"> candidate, accessibility of the item, and local industry and regional contexts) are included.</w:t>
            </w:r>
          </w:p>
        </w:tc>
      </w:tr>
      <w:tr w:rsidTr="00A75DB1">
        <w:tblPrEx>
          <w:tblW w:w="928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35" w:type="dxa"/>
          <w:trHeight w:val="1913"/>
        </w:trPr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rPr>
                <w:rStyle w:val="SpecialBold"/>
              </w:rPr>
              <w:t>Requirements include one (1) or more of the following: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DB1" w:rsidP="00A75DB1">
            <w:pPr>
              <w:pStyle w:val="ListBullet"/>
            </w:pPr>
            <w:r w:rsidRPr="00A75DB1">
              <w:t>purpose</w:t>
            </w:r>
          </w:p>
          <w:p w:rsidR="00000000" w:rsidRPr="00A75DB1" w:rsidP="00A75DB1">
            <w:pPr>
              <w:pStyle w:val="ListBullet"/>
            </w:pPr>
            <w:r w:rsidRPr="00A75DB1">
              <w:t>expected outcomes</w:t>
            </w:r>
          </w:p>
          <w:p w:rsidR="00000000" w:rsidRPr="00A75DB1" w:rsidP="00A75DB1">
            <w:pPr>
              <w:pStyle w:val="ListBullet"/>
            </w:pPr>
            <w:r w:rsidRPr="00A75DB1">
              <w:t>scope and nature</w:t>
            </w:r>
          </w:p>
          <w:p w:rsidR="00000000" w:rsidRPr="00A75DB1" w:rsidP="00A75DB1">
            <w:pPr>
              <w:pStyle w:val="ListBullet"/>
            </w:pPr>
            <w:r w:rsidRPr="00A75DB1">
              <w:t>timeframe</w:t>
            </w:r>
          </w:p>
          <w:p w:rsidR="00000000" w:rsidP="00A75DB1">
            <w:pPr>
              <w:pStyle w:val="ListBullet"/>
              <w:rPr>
                <w:lang w:val="en-NZ"/>
              </w:rPr>
            </w:pPr>
            <w:r w:rsidRPr="00A75DB1">
              <w:t>required resources</w:t>
            </w:r>
          </w:p>
        </w:tc>
      </w:tr>
      <w:tr w:rsidTr="00A75DB1">
        <w:tblPrEx>
          <w:tblW w:w="928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35" w:type="dxa"/>
          <w:trHeight w:val="7405"/>
        </w:trPr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rPr>
                <w:rStyle w:val="SpecialBold"/>
              </w:rPr>
              <w:t>Reports include one (1) or more of the following: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DB1" w:rsidP="00A75DB1">
            <w:pPr>
              <w:pStyle w:val="ListBullet"/>
            </w:pPr>
            <w:r w:rsidRPr="00A75DB1">
              <w:t>reports types:</w:t>
            </w:r>
          </w:p>
          <w:p w:rsidR="00000000" w:rsidRPr="00A75DB1" w:rsidP="00A75DB1">
            <w:pPr>
              <w:pStyle w:val="ListBullet2"/>
            </w:pPr>
            <w:r w:rsidRPr="00A75DB1">
              <w:t>accident/injury</w:t>
            </w:r>
          </w:p>
          <w:p w:rsidR="00000000" w:rsidRPr="00A75DB1" w:rsidP="00A75DB1">
            <w:pPr>
              <w:pStyle w:val="ListBullet2"/>
            </w:pPr>
            <w:r w:rsidRPr="00A75DB1">
              <w:t>equipment report</w:t>
            </w:r>
          </w:p>
          <w:p w:rsidR="00000000" w:rsidRPr="00A75DB1" w:rsidP="00A75DB1">
            <w:pPr>
              <w:pStyle w:val="ListBullet2"/>
            </w:pPr>
            <w:r w:rsidRPr="00A75DB1">
              <w:t>memo and letter reports</w:t>
            </w:r>
          </w:p>
          <w:p w:rsidR="00000000" w:rsidRPr="00A75DB1" w:rsidP="00A75DB1">
            <w:pPr>
              <w:pStyle w:val="ListBullet2"/>
            </w:pPr>
            <w:r w:rsidRPr="00A75DB1">
              <w:t>information report</w:t>
            </w:r>
          </w:p>
          <w:p w:rsidR="00000000" w:rsidRPr="00A75DB1" w:rsidP="00A75DB1">
            <w:pPr>
              <w:pStyle w:val="ListBullet2"/>
            </w:pPr>
            <w:r w:rsidRPr="00A75DB1">
              <w:t>analytical report</w:t>
            </w:r>
          </w:p>
          <w:p w:rsidR="00000000" w:rsidRPr="00A75DB1" w:rsidP="00A75DB1">
            <w:pPr>
              <w:pStyle w:val="ListBullet"/>
            </w:pPr>
            <w:r w:rsidRPr="00A75DB1">
              <w:t>report structure:</w:t>
            </w:r>
          </w:p>
          <w:p w:rsidR="00000000" w:rsidRPr="00A75DB1" w:rsidP="00A75DB1">
            <w:pPr>
              <w:pStyle w:val="ListBullet2"/>
            </w:pPr>
            <w:r w:rsidRPr="00A75DB1">
              <w:t>title page</w:t>
            </w:r>
          </w:p>
          <w:p w:rsidR="00000000" w:rsidRPr="00A75DB1" w:rsidP="00A75DB1">
            <w:pPr>
              <w:pStyle w:val="ListBullet2"/>
            </w:pPr>
            <w:r w:rsidRPr="00A75DB1">
              <w:t>table of contents</w:t>
            </w:r>
          </w:p>
          <w:p w:rsidR="00000000" w:rsidRPr="00A75DB1" w:rsidP="00A75DB1">
            <w:pPr>
              <w:pStyle w:val="ListBullet2"/>
            </w:pPr>
            <w:r w:rsidRPr="00A75DB1">
              <w:t>summary</w:t>
            </w:r>
          </w:p>
          <w:p w:rsidR="00000000" w:rsidRPr="00A75DB1" w:rsidP="00A75DB1">
            <w:pPr>
              <w:pStyle w:val="ListBullet2"/>
            </w:pPr>
            <w:r w:rsidRPr="00A75DB1">
              <w:t>introduction</w:t>
            </w:r>
          </w:p>
          <w:p w:rsidR="00000000" w:rsidRPr="00A75DB1" w:rsidP="00A75DB1">
            <w:pPr>
              <w:pStyle w:val="ListBullet2"/>
            </w:pPr>
            <w:r w:rsidRPr="00A75DB1">
              <w:t>body (findings and conclusions)</w:t>
            </w:r>
          </w:p>
          <w:p w:rsidR="00000000" w:rsidRPr="00A75DB1" w:rsidP="00A75DB1">
            <w:pPr>
              <w:pStyle w:val="ListBullet2"/>
            </w:pPr>
            <w:r w:rsidRPr="00A75DB1">
              <w:t>recommendations</w:t>
            </w:r>
          </w:p>
          <w:p w:rsidR="00000000" w:rsidRPr="00A75DB1" w:rsidP="00A75DB1">
            <w:pPr>
              <w:pStyle w:val="ListBullet2"/>
            </w:pPr>
            <w:r w:rsidRPr="00A75DB1">
              <w:t>references</w:t>
            </w:r>
          </w:p>
          <w:p w:rsidR="00000000" w:rsidRPr="00A75DB1" w:rsidP="00A75DB1">
            <w:pPr>
              <w:pStyle w:val="ListBullet2"/>
            </w:pPr>
            <w:r w:rsidRPr="00A75DB1">
              <w:t>appendices</w:t>
            </w:r>
          </w:p>
          <w:p w:rsidR="00000000" w:rsidRPr="00A75DB1" w:rsidP="00A75DB1">
            <w:pPr>
              <w:pStyle w:val="ListBullet2"/>
            </w:pPr>
            <w:r w:rsidRPr="00A75DB1">
              <w:t>glossary</w:t>
            </w:r>
          </w:p>
          <w:p w:rsidR="00000000" w:rsidRPr="00A75DB1" w:rsidP="00A75DB1">
            <w:pPr>
              <w:pStyle w:val="ListBullet"/>
            </w:pPr>
            <w:r w:rsidRPr="00A75DB1">
              <w:t>report content:</w:t>
            </w:r>
          </w:p>
          <w:p w:rsidR="00000000" w:rsidRPr="00A75DB1" w:rsidP="00A75DB1">
            <w:pPr>
              <w:pStyle w:val="ListBullet2"/>
            </w:pPr>
            <w:r w:rsidRPr="00A75DB1">
              <w:t>text</w:t>
            </w:r>
          </w:p>
          <w:p w:rsidR="00000000" w:rsidRPr="00A75DB1" w:rsidP="00A75DB1">
            <w:pPr>
              <w:pStyle w:val="ListBullet2"/>
            </w:pPr>
            <w:r w:rsidRPr="00A75DB1">
              <w:t>graphs</w:t>
            </w:r>
          </w:p>
          <w:p w:rsidR="00000000" w:rsidRPr="00A75DB1" w:rsidP="00A75DB1">
            <w:pPr>
              <w:pStyle w:val="ListBullet2"/>
            </w:pPr>
            <w:r w:rsidRPr="00A75DB1">
              <w:t>charts</w:t>
            </w:r>
          </w:p>
          <w:p w:rsidR="00000000" w:rsidRPr="00A75DB1" w:rsidP="00A75DB1">
            <w:pPr>
              <w:pStyle w:val="ListBullet2"/>
            </w:pPr>
            <w:r w:rsidRPr="00A75DB1">
              <w:t>tables</w:t>
            </w:r>
          </w:p>
          <w:p w:rsidR="00000000" w:rsidP="00A75DB1">
            <w:pPr>
              <w:pStyle w:val="ListBullet2"/>
              <w:rPr>
                <w:lang w:val="en-NZ"/>
              </w:rPr>
            </w:pPr>
            <w:r w:rsidRPr="00A75DB1">
              <w:t>diagrams</w:t>
            </w:r>
          </w:p>
        </w:tc>
      </w:tr>
      <w:tr w:rsidTr="00A75DB1">
        <w:tblPrEx>
          <w:tblW w:w="928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35" w:type="dxa"/>
          <w:trHeight w:val="3591"/>
        </w:trPr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B1">
            <w:pPr>
              <w:pStyle w:val="BodyText"/>
              <w:rPr>
                <w:lang w:val="en-NZ"/>
              </w:rPr>
            </w:pPr>
            <w:r w:rsidRPr="00A75DB1">
              <w:rPr>
                <w:rStyle w:val="SpecialBold"/>
              </w:rPr>
              <w:t>Principles of report writing include one (1) or more of the following: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DB1" w:rsidP="00A75DB1">
            <w:pPr>
              <w:pStyle w:val="ListBullet"/>
            </w:pPr>
            <w:r w:rsidRPr="00A75DB1">
              <w:t>use of headings, subheadings, sectioning and numbering</w:t>
            </w:r>
          </w:p>
          <w:p w:rsidR="00000000" w:rsidRPr="00A75DB1" w:rsidP="00A75DB1">
            <w:pPr>
              <w:pStyle w:val="ListBullet"/>
            </w:pPr>
            <w:r w:rsidRPr="00A75DB1">
              <w:t>objectivity</w:t>
            </w:r>
          </w:p>
          <w:p w:rsidR="00000000" w:rsidRPr="00A75DB1" w:rsidP="00A75DB1">
            <w:pPr>
              <w:pStyle w:val="ListBullet"/>
            </w:pPr>
            <w:r w:rsidRPr="00A75DB1">
              <w:t>expression</w:t>
            </w:r>
          </w:p>
          <w:p w:rsidR="00000000" w:rsidRPr="00A75DB1" w:rsidP="00A75DB1">
            <w:pPr>
              <w:pStyle w:val="ListBullet"/>
            </w:pPr>
            <w:r w:rsidRPr="00A75DB1">
              <w:t>language and grammar</w:t>
            </w:r>
          </w:p>
          <w:p w:rsidR="00000000" w:rsidRPr="00A75DB1" w:rsidP="00A75DB1">
            <w:pPr>
              <w:pStyle w:val="ListBullet"/>
            </w:pPr>
            <w:r w:rsidRPr="00A75DB1">
              <w:t>sentence and paragraph structure</w:t>
            </w:r>
          </w:p>
          <w:p w:rsidR="00000000" w:rsidRPr="00A75DB1" w:rsidP="00A75DB1">
            <w:pPr>
              <w:pStyle w:val="ListBullet"/>
            </w:pPr>
            <w:r w:rsidRPr="00A75DB1">
              <w:t>logical ordering and sequencing</w:t>
            </w:r>
          </w:p>
          <w:p w:rsidR="00000000" w:rsidRPr="00A75DB1" w:rsidP="00A75DB1">
            <w:pPr>
              <w:pStyle w:val="ListBullet"/>
            </w:pPr>
            <w:r w:rsidRPr="00A75DB1">
              <w:t>summarising and editing</w:t>
            </w:r>
          </w:p>
          <w:p w:rsidR="00000000" w:rsidRPr="00A75DB1" w:rsidP="00A75DB1">
            <w:pPr>
              <w:pStyle w:val="ListBullet"/>
            </w:pPr>
            <w:r w:rsidRPr="00A75DB1">
              <w:t>layout and spacing</w:t>
            </w:r>
          </w:p>
          <w:p w:rsidR="00000000" w:rsidRPr="00A75DB1" w:rsidP="00A75DB1">
            <w:pPr>
              <w:pStyle w:val="ListBullet"/>
            </w:pPr>
            <w:r w:rsidRPr="00A75DB1">
              <w:t>content relevancy</w:t>
            </w:r>
          </w:p>
          <w:p w:rsidR="00000000" w:rsidRPr="00A75DB1" w:rsidP="00A75DB1">
            <w:pPr>
              <w:pStyle w:val="ListBullet"/>
            </w:pPr>
            <w:r w:rsidRPr="00A75DB1">
              <w:t>use of graphics, charts, tables</w:t>
            </w:r>
            <w:r w:rsidRPr="00A75DB1">
              <w:t xml:space="preserve"> and illustrations </w:t>
            </w:r>
          </w:p>
        </w:tc>
      </w:tr>
    </w:tbl>
    <w:p w:rsidR="00000000" w:rsidRPr="00A75DB1" w:rsidP="00A75DB1">
      <w:pPr>
        <w:pStyle w:val="BodyText"/>
      </w:pPr>
    </w:p>
    <w:p w:rsidR="00000000" w:rsidRPr="00A75DB1" w:rsidP="00A75DB1">
      <w:pPr>
        <w:pStyle w:val="AllowPageBreak"/>
      </w:pPr>
    </w:p>
    <w:p w:rsidR="00000000" w:rsidRPr="00A75DB1" w:rsidP="00A75DB1">
      <w:pPr>
        <w:pStyle w:val="Heading1"/>
      </w:pPr>
      <w:bookmarkStart w:id="8" w:name="O_947818"/>
      <w:bookmarkEnd w:id="8"/>
      <w:r w:rsidRPr="00A75DB1">
        <w:t>Unit Mapping Information</w:t>
      </w:r>
    </w:p>
    <w:p w:rsidR="00000000" w:rsidRPr="00A75DB1" w:rsidP="00C97FC4">
      <w:pPr>
        <w:pStyle w:val="BodyText"/>
      </w:pPr>
      <w:r w:rsidRPr="00A75DB1">
        <w:t xml:space="preserve">Release 1. Supersedes and is equivalent to MEM16010A Write reports </w:t>
      </w:r>
    </w:p>
    <w:p w:rsidR="00000000" w:rsidRPr="00A75DB1" w:rsidP="00A75DB1">
      <w:pPr>
        <w:pStyle w:val="Heading1"/>
      </w:pPr>
      <w:bookmarkStart w:id="9" w:name="O_947811"/>
      <w:bookmarkEnd w:id="9"/>
      <w:r w:rsidRPr="00A75DB1">
        <w:t>Links</w:t>
      </w:r>
    </w:p>
    <w:p w:rsidR="00000000" w:rsidRPr="00A75DB1" w:rsidP="00C97FC4">
      <w:pPr>
        <w:pStyle w:val="BodyText"/>
      </w:pPr>
      <w:r w:rsidRPr="00A75D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8686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75DB1" w:rsidP="00C97FC4">
      <w:pPr>
        <w:pStyle w:val="BodyText"/>
        <w:sectPr w:rsidSect="00A75D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5DB1" w:rsidP="00A75DB1">
      <w:pPr>
        <w:pStyle w:val="SuperHeading"/>
      </w:pPr>
      <w:r w:rsidRPr="00A75DB1">
        <w:t>Assessment Requirements for MEM16010 Write reports</w:t>
      </w:r>
    </w:p>
    <w:p w:rsidR="00000000" w:rsidRPr="00A75DB1" w:rsidP="00A75DB1">
      <w:pPr>
        <w:pStyle w:val="Heading1"/>
      </w:pPr>
      <w:bookmarkStart w:id="10" w:name="O_947813"/>
      <w:bookmarkEnd w:id="10"/>
      <w:r w:rsidRPr="00A75DB1">
        <w:t>Modification History</w:t>
      </w:r>
    </w:p>
    <w:p w:rsidR="00000000" w:rsidRPr="00A75DB1" w:rsidP="00C97FC4">
      <w:pPr>
        <w:pStyle w:val="BodyText"/>
      </w:pPr>
      <w:r w:rsidRPr="00A75DB1">
        <w:t xml:space="preserve">Release 1. Supersedes and is equivalent to MEM16010A Write reports </w:t>
      </w:r>
    </w:p>
    <w:p w:rsidR="00000000" w:rsidRPr="00A75DB1" w:rsidP="00A75DB1">
      <w:pPr>
        <w:pStyle w:val="Heading1"/>
      </w:pPr>
      <w:bookmarkStart w:id="11" w:name="O_947816"/>
      <w:bookmarkEnd w:id="11"/>
      <w:r w:rsidRPr="00A75DB1">
        <w:t>Performance Evidence</w:t>
      </w:r>
    </w:p>
    <w:p w:rsidR="00000000" w:rsidRPr="00A75DB1" w:rsidP="00C97FC4">
      <w:pPr>
        <w:pStyle w:val="BodyText"/>
      </w:pPr>
      <w:r w:rsidRPr="00A75DB1">
        <w:t>Evidence required to demonstrate competence in this unit must be relevant to and satisfy the requirements of the elements and performance criteria on at least two (2) occasions and include:</w:t>
      </w:r>
    </w:p>
    <w:p w:rsidR="00000000" w:rsidRPr="00A75DB1" w:rsidP="00A75DB1">
      <w:pPr>
        <w:pStyle w:val="ListBullet"/>
      </w:pPr>
      <w:r w:rsidRPr="00A75DB1">
        <w:t>following work instructions, standard operating procedures (SOPs)</w:t>
      </w:r>
      <w:r w:rsidRPr="00A75DB1">
        <w:t xml:space="preserve"> and safe work practices</w:t>
      </w:r>
    </w:p>
    <w:p w:rsidR="00000000" w:rsidRPr="00A75DB1" w:rsidP="00A75DB1">
      <w:pPr>
        <w:pStyle w:val="ListBullet"/>
      </w:pPr>
      <w:r w:rsidRPr="00A75DB1">
        <w:t>identifying report requirements and required resources and confirming with appropriate personnel</w:t>
      </w:r>
    </w:p>
    <w:p w:rsidR="00000000" w:rsidRPr="00A75DB1" w:rsidP="00A75DB1">
      <w:pPr>
        <w:pStyle w:val="ListBullet"/>
      </w:pPr>
      <w:r w:rsidRPr="00A75DB1">
        <w:t>preparing the type of report to be written according to report requirements</w:t>
      </w:r>
    </w:p>
    <w:p w:rsidR="00000000" w:rsidRPr="00A75DB1" w:rsidP="00A75DB1">
      <w:pPr>
        <w:pStyle w:val="ListBullet"/>
      </w:pPr>
      <w:r w:rsidRPr="00A75DB1">
        <w:t>writing the report using principles of report writing appropriate to the reader</w:t>
      </w:r>
    </w:p>
    <w:p w:rsidR="00000000" w:rsidRPr="00A75DB1" w:rsidP="00A75DB1">
      <w:pPr>
        <w:pStyle w:val="ListBullet"/>
      </w:pPr>
      <w:r w:rsidRPr="00A75DB1">
        <w:t>presenting findings and conclusions based on factual analysis, making recommendations and supplying supporting evidence, as required</w:t>
      </w:r>
    </w:p>
    <w:p w:rsidR="00000000" w:rsidRPr="00A75DB1" w:rsidP="00A75DB1">
      <w:pPr>
        <w:pStyle w:val="ListBullet"/>
      </w:pPr>
      <w:r w:rsidRPr="00A75DB1">
        <w:t>copying and distributing report and storing</w:t>
      </w:r>
      <w:r w:rsidRPr="00A75DB1">
        <w:t xml:space="preserve"> according to workplace procedures.</w:t>
      </w:r>
    </w:p>
    <w:p w:rsidR="00000000" w:rsidRPr="00A75DB1" w:rsidP="00A75DB1">
      <w:pPr>
        <w:pStyle w:val="AllowPageBreak"/>
      </w:pPr>
    </w:p>
    <w:p w:rsidR="00000000" w:rsidRPr="00A75DB1" w:rsidP="00A75DB1">
      <w:pPr>
        <w:pStyle w:val="Heading1"/>
      </w:pPr>
      <w:bookmarkStart w:id="12" w:name="O_947815"/>
      <w:bookmarkEnd w:id="12"/>
      <w:r w:rsidRPr="00A75DB1">
        <w:t>Knowledge Evidence</w:t>
      </w:r>
    </w:p>
    <w:p w:rsidR="00000000" w:rsidRPr="00A75DB1" w:rsidP="00C97FC4">
      <w:pPr>
        <w:pStyle w:val="BodyText"/>
      </w:pPr>
      <w:r w:rsidRPr="00A75DB1">
        <w:t>Evidence required to demonstrate the required knowledge for this unit must be relevant to and satisfy the requirements of the elements and performance criteria and include knowledge of</w:t>
      </w:r>
      <w:r w:rsidRPr="00A75DB1">
        <w:t>:</w:t>
      </w:r>
    </w:p>
    <w:p w:rsidR="00000000" w:rsidRPr="00A75DB1" w:rsidP="00A75DB1">
      <w:pPr>
        <w:pStyle w:val="ListBullet"/>
      </w:pPr>
      <w:r w:rsidRPr="00A75DB1">
        <w:t xml:space="preserve">safe work practices and procedures </w:t>
      </w:r>
    </w:p>
    <w:p w:rsidR="00000000" w:rsidRPr="00A75DB1" w:rsidP="00A75DB1">
      <w:pPr>
        <w:pStyle w:val="ListBullet"/>
      </w:pPr>
      <w:r w:rsidRPr="00A75DB1">
        <w:t>principles of report writing</w:t>
      </w:r>
    </w:p>
    <w:p w:rsidR="00000000" w:rsidRPr="00A75DB1" w:rsidP="00A75DB1">
      <w:pPr>
        <w:pStyle w:val="ListBullet"/>
      </w:pPr>
      <w:r w:rsidRPr="00A75DB1">
        <w:t>report types and purposes</w:t>
      </w:r>
    </w:p>
    <w:p w:rsidR="00000000" w:rsidRPr="00A75DB1" w:rsidP="00A75DB1">
      <w:pPr>
        <w:pStyle w:val="ListBullet"/>
      </w:pPr>
      <w:r w:rsidRPr="00A75DB1">
        <w:t>structure, style and parts of a report</w:t>
      </w:r>
    </w:p>
    <w:p w:rsidR="00000000" w:rsidRPr="00A75DB1" w:rsidP="00A75DB1">
      <w:pPr>
        <w:pStyle w:val="ListBullet"/>
      </w:pPr>
      <w:r w:rsidRPr="00A75DB1">
        <w:t>use of language and expression in reports</w:t>
      </w:r>
    </w:p>
    <w:p w:rsidR="00000000" w:rsidRPr="00A75DB1" w:rsidP="00A75DB1">
      <w:pPr>
        <w:pStyle w:val="ListBullet"/>
      </w:pPr>
      <w:r w:rsidRPr="00A75DB1">
        <w:t>common writing pitfalls</w:t>
      </w:r>
    </w:p>
    <w:p w:rsidR="00000000" w:rsidRPr="00A75DB1" w:rsidP="00A75DB1">
      <w:pPr>
        <w:pStyle w:val="ListBullet"/>
      </w:pPr>
      <w:r w:rsidRPr="00A75DB1">
        <w:t>report numbering systems</w:t>
      </w:r>
    </w:p>
    <w:p w:rsidR="00000000" w:rsidRPr="00A75DB1" w:rsidP="00A75DB1">
      <w:pPr>
        <w:pStyle w:val="ListBullet"/>
      </w:pPr>
      <w:r w:rsidRPr="00A75DB1">
        <w:t>techniques for reviewing and edi</w:t>
      </w:r>
      <w:r w:rsidRPr="00A75DB1">
        <w:t>ting</w:t>
      </w:r>
    </w:p>
    <w:p w:rsidR="00000000" w:rsidRPr="00A75DB1" w:rsidP="00A75DB1">
      <w:pPr>
        <w:pStyle w:val="ListBullet"/>
      </w:pPr>
      <w:r w:rsidRPr="00A75DB1">
        <w:t>importance and benefits of preparing reports appropriate for the intended audience</w:t>
      </w:r>
    </w:p>
    <w:p w:rsidR="00000000" w:rsidRPr="00A75DB1" w:rsidP="00A75DB1">
      <w:pPr>
        <w:pStyle w:val="ListBullet"/>
      </w:pPr>
      <w:r w:rsidRPr="00A75DB1">
        <w:t>referencing and the importance of acknowledging sources.</w:t>
      </w:r>
    </w:p>
    <w:p w:rsidR="00000000" w:rsidRPr="00A75DB1" w:rsidP="00A75DB1">
      <w:pPr>
        <w:pStyle w:val="AllowPageBreak"/>
      </w:pPr>
    </w:p>
    <w:p w:rsidR="00000000" w:rsidRPr="00A75DB1" w:rsidP="00A75DB1">
      <w:pPr>
        <w:pStyle w:val="Heading1"/>
      </w:pPr>
      <w:bookmarkStart w:id="13" w:name="O_947814"/>
      <w:bookmarkEnd w:id="13"/>
      <w:r w:rsidRPr="00A75DB1">
        <w:t>Assessment Conditions</w:t>
      </w:r>
    </w:p>
    <w:p w:rsidR="00000000" w:rsidRPr="00A75DB1" w:rsidP="00A75DB1">
      <w:pPr>
        <w:pStyle w:val="ListBullet"/>
      </w:pPr>
      <w:r w:rsidRPr="00A75DB1">
        <w:t>Assessors must:</w:t>
      </w:r>
    </w:p>
    <w:p w:rsidR="00000000" w:rsidRPr="00A75DB1" w:rsidP="00A75DB1">
      <w:pPr>
        <w:pStyle w:val="ListBullet2"/>
      </w:pPr>
      <w:r w:rsidRPr="00A75DB1">
        <w:t>have vocational competency in writing reports at least to the level being assessed with relevant industry knowledge and experience</w:t>
      </w:r>
    </w:p>
    <w:p w:rsidR="00000000" w:rsidRPr="00A75DB1" w:rsidP="00A75DB1">
      <w:pPr>
        <w:pStyle w:val="ListBullet2"/>
      </w:pPr>
      <w:r w:rsidRPr="00A75DB1">
        <w:t xml:space="preserve">satisfy the assessor requirements in the </w:t>
      </w:r>
      <w:r w:rsidRPr="00A75DB1">
        <w:rPr>
          <w:rStyle w:val="Emphasis"/>
        </w:rPr>
        <w:t xml:space="preserve">Standards for Registered Training Organisations 2015 </w:t>
      </w:r>
      <w:r w:rsidRPr="00A75DB1">
        <w:t>or its replacement</w:t>
      </w:r>
      <w:r w:rsidRPr="00A75DB1">
        <w:rPr>
          <w:rStyle w:val="Emphasis"/>
        </w:rPr>
        <w:t xml:space="preserve"> </w:t>
      </w:r>
      <w:r w:rsidRPr="00A75DB1">
        <w:t>and comply w</w:t>
      </w:r>
      <w:r w:rsidRPr="00A75DB1">
        <w:t xml:space="preserve">ith the </w:t>
      </w:r>
      <w:r w:rsidRPr="00A75DB1">
        <w:rPr>
          <w:rStyle w:val="Emphasis"/>
        </w:rPr>
        <w:t xml:space="preserve">National Vocational Education and Training Regulator Act 2011, </w:t>
      </w:r>
      <w:r w:rsidRPr="00A75DB1">
        <w:t>its replacement</w:t>
      </w:r>
      <w:r w:rsidRPr="00A75DB1">
        <w:rPr>
          <w:rStyle w:val="Emphasis"/>
        </w:rPr>
        <w:t xml:space="preserve"> </w:t>
      </w:r>
      <w:r w:rsidRPr="00A75DB1">
        <w:t>or equivalent legislation covering VET regulation in a non-referring state/territory as the case requires</w:t>
      </w:r>
    </w:p>
    <w:p w:rsidR="00000000" w:rsidRPr="00A75DB1" w:rsidP="00A75DB1">
      <w:pPr>
        <w:pStyle w:val="ListBullet"/>
      </w:pPr>
      <w:r w:rsidRPr="00A75DB1">
        <w:t xml:space="preserve">Where possible assessment must occur in operational workplace </w:t>
      </w:r>
      <w:r w:rsidRPr="00A75DB1">
        <w:t>situations. Where this is not possible or where personal safety or environmental damage are limiting factors, assessment must occur in a sufficiently rigorous simulated environment that reflects realistic operational workplace conditions. This must cover a</w:t>
      </w:r>
      <w:r w:rsidRPr="00A75DB1">
        <w:t>ll aspects of workplace performance, including environment, task skills, task management skills, contingency management skills and job role environment skills</w:t>
      </w:r>
    </w:p>
    <w:p w:rsidR="00000000" w:rsidRPr="00A75DB1" w:rsidP="00A75DB1">
      <w:pPr>
        <w:pStyle w:val="ListBullet"/>
      </w:pPr>
      <w:r w:rsidRPr="00A75DB1">
        <w:t>Conditions for assessment must include access to all tools, equipment, materials and documentatio</w:t>
      </w:r>
      <w:r w:rsidRPr="00A75DB1">
        <w:t>n required, including relevant workplace procedures, product and manufacturing specifications</w:t>
      </w:r>
    </w:p>
    <w:p w:rsidR="00000000" w:rsidRPr="00A75DB1" w:rsidP="00A75DB1">
      <w:pPr>
        <w:pStyle w:val="ListBullet"/>
      </w:pPr>
      <w:r w:rsidRPr="00A75DB1">
        <w:t>Assessment processes and techniques must be appropriate to the language, literacy and numeracy requirements of the work being performed and the needs of the candi</w:t>
      </w:r>
      <w:r w:rsidRPr="00A75DB1">
        <w:t>date.</w:t>
      </w:r>
    </w:p>
    <w:p w:rsidR="00000000" w:rsidRPr="00A75DB1" w:rsidP="00A75DB1">
      <w:pPr>
        <w:pStyle w:val="AllowPageBreak"/>
      </w:pPr>
    </w:p>
    <w:p w:rsidR="00000000" w:rsidRPr="00A75DB1" w:rsidP="00A75DB1">
      <w:pPr>
        <w:pStyle w:val="Heading1"/>
      </w:pPr>
      <w:bookmarkStart w:id="14" w:name="O_947812"/>
      <w:bookmarkEnd w:id="14"/>
      <w:r w:rsidRPr="00A75DB1">
        <w:t>Links</w:t>
      </w:r>
    </w:p>
    <w:p w:rsidR="00000000" w:rsidRPr="00A75DB1" w:rsidP="00C97FC4">
      <w:pPr>
        <w:pStyle w:val="BodyText"/>
      </w:pPr>
      <w:r w:rsidRPr="00A75D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8686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75DB1" w:rsidP="00A75DB1"/>
    <w:sectPr w:rsidSect="00A75D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B1" w:rsidRPr="00C97FC4" w:rsidP="00C97F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FC4" w:rsidP="00A75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97FC4" w:rsidP="00A75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97FC4" w:rsidP="00A75D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B1" w:rsidP="00A75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7FC4">
      <w:t>Approved</w:t>
    </w:r>
    <w:r w:rsidR="00C97F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7FC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7FC4">
      <w:rPr>
        <w:noProof/>
      </w:rPr>
      <w:t>6</w:t>
    </w:r>
    <w:r>
      <w:rPr>
        <w:noProof/>
      </w:rPr>
      <w:fldChar w:fldCharType="end"/>
    </w:r>
  </w:p>
  <w:p w:rsidR="00A75DB1" w:rsidP="00A75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7F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7FC4">
      <w:t>Manufacturing Industry Skills Alliance</w:t>
    </w:r>
    <w:r w:rsidR="00C97FC4">
      <w:fldChar w:fldCharType="end"/>
    </w:r>
  </w:p>
  <w:p w:rsidR="00A75DB1" w:rsidP="00A75D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F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DB1" w:rsidRPr="00C97FC4" w:rsidP="00C97F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FC4" w:rsidRPr="002D2AF8" w:rsidP="00A75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MEM16010 Write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7FC4" w:rsidP="00A75D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B1" w:rsidRPr="002D2AF8" w:rsidP="00A75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7FC4">
      <w:t>MEM16010 Write reports</w:t>
    </w:r>
    <w:r w:rsidR="00C97F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7FC4">
      <w:rPr>
        <w:noProof/>
      </w:rPr>
      <w:t>2 March 2025</w:t>
    </w:r>
    <w:r>
      <w:fldChar w:fldCharType="end"/>
    </w:r>
  </w:p>
  <w:p w:rsidR="00A75DB1" w:rsidP="00A75D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8279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CA2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7042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D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D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D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D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D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D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D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D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D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D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D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DB1"/>
  </w:style>
  <w:style w:type="character" w:customStyle="1" w:styleId="Heading1Char">
    <w:name w:val="Heading 1 Char"/>
    <w:basedOn w:val="DefaultParagraphFont"/>
    <w:link w:val="Heading1"/>
    <w:rsid w:val="00A75D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D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D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D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5DB1"/>
    <w:rPr>
      <w:b/>
      <w:spacing w:val="0"/>
    </w:rPr>
  </w:style>
  <w:style w:type="paragraph" w:styleId="ListBullet2">
    <w:name w:val="List Bullet 2"/>
    <w:basedOn w:val="List2"/>
    <w:rsid w:val="00A75DB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5DB1"/>
    <w:rPr>
      <w:i/>
    </w:rPr>
  </w:style>
  <w:style w:type="paragraph" w:customStyle="1" w:styleId="SuperHeading">
    <w:name w:val="SuperHeading"/>
    <w:basedOn w:val="Normal"/>
    <w:rsid w:val="00A75D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D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5D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D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D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D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D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D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D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D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D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D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D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D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D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D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D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D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D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D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D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5D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D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D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D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D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D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D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D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D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5D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D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D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DB1"/>
  </w:style>
  <w:style w:type="paragraph" w:styleId="TableofFigures">
    <w:name w:val="table of figures"/>
    <w:basedOn w:val="Normal"/>
    <w:next w:val="Normal"/>
    <w:semiHidden/>
    <w:rsid w:val="00A75D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D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5DB1"/>
    <w:rPr>
      <w:rFonts w:ascii="Wingdings" w:hAnsi="Wingdings"/>
    </w:rPr>
  </w:style>
  <w:style w:type="paragraph" w:customStyle="1" w:styleId="TableHeading">
    <w:name w:val="Table Heading"/>
    <w:basedOn w:val="HeadingBase"/>
    <w:rsid w:val="00A75D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DB1"/>
    <w:rPr>
      <w:color w:val="0033CC"/>
      <w:u w:val="none"/>
    </w:rPr>
  </w:style>
  <w:style w:type="paragraph" w:customStyle="1" w:styleId="BodyTextRight">
    <w:name w:val="Body Text Right"/>
    <w:basedOn w:val="BodyText"/>
    <w:rsid w:val="00A75D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D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D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D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D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D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DB1"/>
    <w:rPr>
      <w:sz w:val="32"/>
    </w:rPr>
  </w:style>
  <w:style w:type="paragraph" w:customStyle="1" w:styleId="HeadingProcedure">
    <w:name w:val="Heading Procedure"/>
    <w:basedOn w:val="HeadingBase"/>
    <w:next w:val="Normal"/>
    <w:rsid w:val="00A75D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DB1"/>
    <w:pPr>
      <w:spacing w:before="60" w:after="60"/>
    </w:pPr>
  </w:style>
  <w:style w:type="paragraph" w:styleId="ListContinue">
    <w:name w:val="List Continue"/>
    <w:basedOn w:val="List"/>
    <w:rsid w:val="00A75DB1"/>
    <w:pPr>
      <w:ind w:firstLine="0"/>
    </w:pPr>
  </w:style>
  <w:style w:type="paragraph" w:customStyle="1" w:styleId="ListNote">
    <w:name w:val="List Note"/>
    <w:basedOn w:val="List"/>
    <w:rsid w:val="00A75D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D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D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DB1"/>
    <w:rPr>
      <w:rFonts w:ascii="Courier New" w:hAnsi="Courier New"/>
    </w:rPr>
  </w:style>
  <w:style w:type="paragraph" w:customStyle="1" w:styleId="NoteBullet">
    <w:name w:val="Note Bullet"/>
    <w:basedOn w:val="Note"/>
    <w:rsid w:val="00A75D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D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D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D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D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5D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D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DB1"/>
    <w:rPr>
      <w:b/>
      <w:smallCaps/>
    </w:rPr>
  </w:style>
  <w:style w:type="paragraph" w:customStyle="1" w:styleId="TableListNumber">
    <w:name w:val="Table List Number"/>
    <w:basedOn w:val="ListNumber"/>
    <w:rsid w:val="00A75D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D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DB1"/>
    <w:pPr>
      <w:numPr>
        <w:numId w:val="9"/>
      </w:numPr>
    </w:pPr>
  </w:style>
  <w:style w:type="paragraph" w:customStyle="1" w:styleId="ListAlpha2">
    <w:name w:val="List Alpha 2"/>
    <w:basedOn w:val="List2"/>
    <w:rsid w:val="00A75DB1"/>
    <w:pPr>
      <w:numPr>
        <w:numId w:val="8"/>
      </w:numPr>
    </w:pPr>
  </w:style>
  <w:style w:type="paragraph" w:styleId="List2">
    <w:name w:val="List 2"/>
    <w:basedOn w:val="BodyText"/>
    <w:rsid w:val="00A75D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D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D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D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D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D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5DB1"/>
    <w:pPr>
      <w:numPr>
        <w:numId w:val="4"/>
      </w:numPr>
    </w:pPr>
  </w:style>
  <w:style w:type="paragraph" w:styleId="ListContinue2">
    <w:name w:val="List Continue 2"/>
    <w:basedOn w:val="List2"/>
    <w:rsid w:val="00A75DB1"/>
    <w:pPr>
      <w:ind w:firstLine="0"/>
    </w:pPr>
  </w:style>
  <w:style w:type="paragraph" w:styleId="ListContinue3">
    <w:name w:val="List Continue 3"/>
    <w:basedOn w:val="List3"/>
    <w:rsid w:val="00A75DB1"/>
    <w:pPr>
      <w:ind w:left="1021" w:firstLine="0"/>
    </w:pPr>
  </w:style>
  <w:style w:type="paragraph" w:styleId="ListContinue4">
    <w:name w:val="List Continue 4"/>
    <w:basedOn w:val="List4"/>
    <w:rsid w:val="00A75DB1"/>
    <w:pPr>
      <w:ind w:firstLine="0"/>
    </w:pPr>
  </w:style>
  <w:style w:type="paragraph" w:styleId="ListContinue5">
    <w:name w:val="List Continue 5"/>
    <w:basedOn w:val="List5"/>
    <w:rsid w:val="00A75DB1"/>
    <w:pPr>
      <w:ind w:firstLine="0"/>
    </w:pPr>
  </w:style>
  <w:style w:type="paragraph" w:styleId="ListNumber3">
    <w:name w:val="List Number 3"/>
    <w:basedOn w:val="List3"/>
    <w:rsid w:val="00A75DB1"/>
    <w:pPr>
      <w:numPr>
        <w:numId w:val="5"/>
      </w:numPr>
    </w:pPr>
  </w:style>
  <w:style w:type="paragraph" w:styleId="ListNumber4">
    <w:name w:val="List Number 4"/>
    <w:basedOn w:val="List4"/>
    <w:rsid w:val="00A75DB1"/>
    <w:pPr>
      <w:numPr>
        <w:numId w:val="6"/>
      </w:numPr>
    </w:pPr>
  </w:style>
  <w:style w:type="paragraph" w:styleId="ListNumber5">
    <w:name w:val="List Number 5"/>
    <w:basedOn w:val="List5"/>
    <w:rsid w:val="00A75DB1"/>
    <w:pPr>
      <w:numPr>
        <w:numId w:val="7"/>
      </w:numPr>
    </w:pPr>
  </w:style>
  <w:style w:type="paragraph" w:styleId="BlockText">
    <w:name w:val="Block Text"/>
    <w:basedOn w:val="Normal"/>
    <w:rsid w:val="00A75D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D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DB1"/>
    <w:rPr>
      <w:sz w:val="16"/>
      <w:vertAlign w:val="superscript"/>
    </w:rPr>
  </w:style>
  <w:style w:type="character" w:customStyle="1" w:styleId="Symbols">
    <w:name w:val="Symbols"/>
    <w:basedOn w:val="DefaultParagraphFont"/>
    <w:rsid w:val="00A75DB1"/>
    <w:rPr>
      <w:rFonts w:ascii="Symbol" w:hAnsi="Symbol"/>
    </w:rPr>
  </w:style>
  <w:style w:type="character" w:customStyle="1" w:styleId="MenuOptions">
    <w:name w:val="Menu Options"/>
    <w:basedOn w:val="DefaultParagraphFont"/>
    <w:rsid w:val="00A75D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DB1"/>
    <w:rPr>
      <w:b/>
    </w:rPr>
  </w:style>
  <w:style w:type="character" w:customStyle="1" w:styleId="Underlined">
    <w:name w:val="Underlined"/>
    <w:basedOn w:val="DefaultParagraphFont"/>
    <w:rsid w:val="00A75DB1"/>
    <w:rPr>
      <w:u w:val="single"/>
    </w:rPr>
  </w:style>
  <w:style w:type="paragraph" w:customStyle="1" w:styleId="TableBodyTextRight">
    <w:name w:val="Table Body Text Right"/>
    <w:basedOn w:val="TableBodyText"/>
    <w:rsid w:val="00A75D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DB1"/>
    <w:rPr>
      <w:sz w:val="18"/>
    </w:rPr>
  </w:style>
  <w:style w:type="paragraph" w:customStyle="1" w:styleId="BodySmallRight">
    <w:name w:val="Body Small Right"/>
    <w:basedOn w:val="BodyTextRight"/>
    <w:rsid w:val="00A75DB1"/>
    <w:rPr>
      <w:sz w:val="18"/>
      <w:szCs w:val="18"/>
    </w:rPr>
  </w:style>
  <w:style w:type="paragraph" w:customStyle="1" w:styleId="MarginEdition">
    <w:name w:val="Margin Edition"/>
    <w:basedOn w:val="MarginNote"/>
    <w:rsid w:val="00A75D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DB1"/>
    <w:rPr>
      <w:sz w:val="2"/>
      <w:szCs w:val="2"/>
    </w:rPr>
  </w:style>
  <w:style w:type="character" w:customStyle="1" w:styleId="Small">
    <w:name w:val="Small"/>
    <w:basedOn w:val="DefaultParagraphFont"/>
    <w:rsid w:val="00A75DB1"/>
    <w:rPr>
      <w:sz w:val="16"/>
    </w:rPr>
  </w:style>
  <w:style w:type="paragraph" w:customStyle="1" w:styleId="WideTable">
    <w:name w:val="Wide Table"/>
    <w:basedOn w:val="Normal"/>
    <w:rsid w:val="00A75D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DB1"/>
  </w:style>
  <w:style w:type="paragraph" w:styleId="Quote">
    <w:name w:val="Quote"/>
    <w:basedOn w:val="Heading1"/>
    <w:link w:val="QuoteChar"/>
    <w:qFormat/>
    <w:rsid w:val="00A75D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D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DB1"/>
    <w:pPr>
      <w:pageBreakBefore/>
    </w:pPr>
  </w:style>
  <w:style w:type="paragraph" w:customStyle="1" w:styleId="Border">
    <w:name w:val="Border"/>
    <w:basedOn w:val="Normal"/>
    <w:qFormat/>
    <w:rsid w:val="00A75D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D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D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D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D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D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D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D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D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DB1"/>
    <w:rPr>
      <w:u w:val="single"/>
    </w:rPr>
  </w:style>
  <w:style w:type="character" w:customStyle="1" w:styleId="BoldandItalics">
    <w:name w:val="Bold and Italics"/>
    <w:qFormat/>
    <w:rsid w:val="00A75DB1"/>
    <w:rPr>
      <w:b/>
      <w:i/>
      <w:u w:val="none"/>
    </w:rPr>
  </w:style>
  <w:style w:type="paragraph" w:styleId="BalloonText">
    <w:name w:val="Balloon Text"/>
    <w:basedOn w:val="Normal"/>
    <w:link w:val="BalloonTextChar"/>
    <w:rsid w:val="00A75D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D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D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D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D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D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DB1"/>
    <w:pPr>
      <w:spacing w:before="0" w:after="0"/>
    </w:pPr>
  </w:style>
  <w:style w:type="paragraph" w:customStyle="1" w:styleId="BodyTextBold">
    <w:name w:val="Body Text Bold"/>
    <w:basedOn w:val="BodyText"/>
    <w:qFormat/>
    <w:rsid w:val="00A75DB1"/>
    <w:rPr>
      <w:b/>
    </w:rPr>
  </w:style>
  <w:style w:type="character" w:styleId="Hyperlink">
    <w:name w:val="Hyperlink"/>
    <w:basedOn w:val="DefaultParagraphFont"/>
    <w:uiPriority w:val="99"/>
    <w:unhideWhenUsed/>
    <w:rsid w:val="00C97F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1033</Words>
  <Characters>6643</Characters>
  <Application>Microsoft Office Word</Application>
  <DocSecurity>0</DocSecurity>
  <Lines>246</Lines>
  <Paragraphs>163</Paragraphs>
  <ScaleCrop>false</ScaleCrop>
  <Company>Author-it Software Corporation Ltd.</Company>
  <LinksUpToDate>false</LinksUpToDate>
  <CharactersWithSpaces>7513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MEM16010 Write reports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2025-03-01T18:41:00Z</dcterms:created>
  <dcterms:modified xsi:type="dcterms:W3CDTF">2025-03-01T18:41:00Z</dcterms:modified>
</cp:coreProperties>
</file>