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21A8" w:rsidP="009021A8">
      <w:pPr>
        <w:pStyle w:val="Title"/>
      </w:pPr>
      <w:r>
        <w:fldChar w:fldCharType="begin"/>
      </w:r>
      <w:r>
        <w:instrText xml:space="preserve"> TITLE   \* MERGEFORMAT </w:instrText>
      </w:r>
      <w:r>
        <w:fldChar w:fldCharType="separate"/>
      </w:r>
      <w:r>
        <w:t>MEM15021 Conduct audits of servicing licensees and public weighbridge licensees</w:t>
      </w:r>
      <w:r>
        <w:fldChar w:fldCharType="end"/>
      </w:r>
    </w:p>
    <w:p w:rsidR="009021A8" w:rsidP="009021A8">
      <w:pPr>
        <w:pStyle w:val="Version"/>
        <w:sectPr w:rsidSect="00251C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1CBE" w:rsidP="00251CBE">
      <w:pPr>
        <w:pStyle w:val="SuperHeading"/>
      </w:pPr>
      <w:r w:rsidRPr="00251CBE">
        <w:t>MEM15021 Conduct audits of servicing licensees and public weighbridge licensees</w:t>
      </w:r>
    </w:p>
    <w:p w:rsidR="00000000" w:rsidRPr="00251CBE" w:rsidP="00251CBE">
      <w:pPr>
        <w:pStyle w:val="Heading1"/>
      </w:pPr>
      <w:bookmarkStart w:id="1" w:name="O_953211"/>
      <w:bookmarkEnd w:id="1"/>
      <w:r w:rsidRPr="00251CBE">
        <w:t>Modification History</w:t>
      </w:r>
    </w:p>
    <w:p w:rsidR="009021A8" w:rsidP="009021A8">
      <w:pPr>
        <w:pStyle w:val="BodyText"/>
      </w:pPr>
      <w:r w:rsidRPr="00251CBE">
        <w:t>Release 1. Supersedes and is equivalent to MEM15021C Conduct audits of servicing licensees and public weighbridge licensees.</w:t>
      </w:r>
    </w:p>
    <w:p w:rsidR="00000000" w:rsidRPr="00251CBE" w:rsidP="00251CBE">
      <w:pPr>
        <w:pStyle w:val="Heading1"/>
      </w:pPr>
      <w:bookmarkStart w:id="2" w:name="O_953219"/>
      <w:bookmarkEnd w:id="2"/>
      <w:r w:rsidRPr="00251CBE">
        <w:t>Application</w:t>
      </w:r>
    </w:p>
    <w:p w:rsidR="00000000" w:rsidRPr="00251CBE" w:rsidP="009021A8">
      <w:pPr>
        <w:pStyle w:val="BodyText"/>
      </w:pPr>
      <w:r w:rsidRPr="00251CBE">
        <w:t xml:space="preserve">This unit of competency defines the skills and knowledge required to audit the work undertaken by servicing licensees (certifiers) and the operations undertaken by public weighbridge licensees and is designed for those performing trade </w:t>
      </w:r>
      <w:r w:rsidRPr="00251CBE">
        <w:t>measurement audits on public and/or private trade measurement licensees.</w:t>
      </w:r>
    </w:p>
    <w:p w:rsidR="00000000" w:rsidRPr="00251CBE" w:rsidP="009021A8">
      <w:pPr>
        <w:pStyle w:val="BodyText"/>
      </w:pPr>
      <w:r w:rsidRPr="00251CBE">
        <w:t>It applies to personnel working for, or appointed by, a trade measuring administering authority and encompasses audits of measuring instruments and documentation supplied by licensee,</w:t>
      </w:r>
      <w:r w:rsidRPr="00251CBE">
        <w:t xml:space="preserve"> including instrument accuracy, instrument markings, and adherence to legislative requirements and test procedures.</w:t>
      </w:r>
    </w:p>
    <w:p w:rsidR="00000000" w:rsidRPr="00251CBE" w:rsidP="009021A8">
      <w:pPr>
        <w:pStyle w:val="BodyText"/>
      </w:pPr>
      <w:r w:rsidRPr="00251CBE">
        <w:t>Where the use and maintenance of reference standards is required, unit MEM15017 Use and maintain reference standards should also be selected</w:t>
      </w:r>
      <w:r w:rsidRPr="00251CBE">
        <w:t>.</w:t>
      </w:r>
    </w:p>
    <w:p w:rsidR="00000000" w:rsidRPr="00251CBE" w:rsidP="009021A8">
      <w:pPr>
        <w:pStyle w:val="BodyText"/>
      </w:pPr>
      <w:r w:rsidRPr="00251CBE">
        <w:t>Where verification/certification is required, unit MEM15020 Perform inspection of measuring instruments should also be selected.</w:t>
      </w:r>
    </w:p>
    <w:p w:rsidR="00000000" w:rsidRPr="00251CBE" w:rsidP="009021A8">
      <w:pPr>
        <w:pStyle w:val="BodyText"/>
      </w:pPr>
      <w:r w:rsidRPr="00251CBE">
        <w:t>Where the selection and use of power tools/hand held operations is required, unit MEM18002 Use power tools/hand held operatio</w:t>
      </w:r>
      <w:r w:rsidRPr="00251CBE">
        <w:t>ns should also be selected.</w:t>
      </w:r>
    </w:p>
    <w:p w:rsidR="00000000" w:rsidRPr="00251CBE" w:rsidP="009021A8">
      <w:pPr>
        <w:pStyle w:val="BodyText"/>
      </w:pPr>
      <w:r w:rsidRPr="00251CBE">
        <w:t>Some jurisdictions may require the holder of this unit to conform to regulatory and/or legislative requirements and users should check with the relevant authorities.</w:t>
      </w:r>
    </w:p>
    <w:p w:rsidR="00000000" w:rsidRPr="00251CBE" w:rsidP="009021A8">
      <w:pPr>
        <w:pStyle w:val="Heading3"/>
      </w:pPr>
      <w:r w:rsidRPr="00251CBE">
        <w:rPr>
          <w:rStyle w:val="SpecialBold"/>
        </w:rPr>
        <w:t>Band: B</w:t>
      </w:r>
    </w:p>
    <w:p w:rsidR="009021A8" w:rsidP="009021A8">
      <w:pPr>
        <w:pStyle w:val="Heading3"/>
      </w:pPr>
      <w:r w:rsidRPr="00251CBE">
        <w:rPr>
          <w:rStyle w:val="SpecialBold"/>
        </w:rPr>
        <w:t>Unit Weight: 4</w:t>
      </w:r>
    </w:p>
    <w:p w:rsidR="00000000" w:rsidRPr="00251CBE" w:rsidP="00251CBE">
      <w:pPr>
        <w:pStyle w:val="Heading1"/>
      </w:pPr>
      <w:bookmarkStart w:id="3" w:name="O_953218"/>
      <w:bookmarkEnd w:id="3"/>
      <w:r w:rsidRPr="00251CBE">
        <w:t>Pre-requisite Unit</w:t>
      </w:r>
    </w:p>
    <w:p w:rsidR="00000000" w:rsidRPr="00251CBE" w:rsidP="009021A8">
      <w:pPr>
        <w:pStyle w:val="List"/>
      </w:pPr>
      <w:r w:rsidRPr="00251CBE">
        <w:t>ME</w:t>
      </w:r>
      <w:r w:rsidRPr="00251CBE">
        <w:t>M09002 Interpret technical drawing</w:t>
      </w:r>
    </w:p>
    <w:p w:rsidR="00000000" w:rsidRPr="00251CBE" w:rsidP="009021A8">
      <w:pPr>
        <w:pStyle w:val="List"/>
      </w:pPr>
      <w:r w:rsidRPr="00251CBE">
        <w:t>MEM11011 Undertake manual handling</w:t>
      </w:r>
    </w:p>
    <w:p w:rsidR="00000000" w:rsidRPr="00251CBE" w:rsidP="009021A8">
      <w:pPr>
        <w:pStyle w:val="List"/>
      </w:pPr>
      <w:r w:rsidRPr="00251CBE">
        <w:t>MEM13015 Work safely and effectively in manufacturing and engineering</w:t>
      </w:r>
    </w:p>
    <w:p w:rsidR="00000000" w:rsidRPr="00251CBE" w:rsidP="009021A8">
      <w:pPr>
        <w:pStyle w:val="List"/>
      </w:pPr>
      <w:r w:rsidRPr="00251CBE">
        <w:t>MEM16004 Perform internal/external customer service</w:t>
      </w:r>
    </w:p>
    <w:p w:rsidR="00000000" w:rsidRPr="00251CBE" w:rsidP="009021A8">
      <w:pPr>
        <w:pStyle w:val="List"/>
      </w:pPr>
      <w:r w:rsidRPr="00251CBE">
        <w:t>MEM16006 Organise and communicate information</w:t>
      </w:r>
    </w:p>
    <w:p w:rsidR="009021A8" w:rsidP="009021A8">
      <w:pPr>
        <w:pStyle w:val="List"/>
      </w:pPr>
      <w:r w:rsidRPr="00251CBE">
        <w:t xml:space="preserve">MEM18001 Use hand </w:t>
      </w:r>
      <w:r w:rsidRPr="00251CBE">
        <w:t>tools</w:t>
      </w:r>
    </w:p>
    <w:p w:rsidR="009021A8" w:rsidP="00251CBE">
      <w:pPr>
        <w:pStyle w:val="BodyText"/>
      </w:pPr>
    </w:p>
    <w:p w:rsidR="00000000" w:rsidRPr="00251CBE" w:rsidP="00251CBE">
      <w:pPr>
        <w:pStyle w:val="Heading1"/>
      </w:pPr>
      <w:bookmarkStart w:id="4" w:name="O_953217"/>
      <w:bookmarkEnd w:id="4"/>
      <w:r w:rsidRPr="00251CBE">
        <w:t>Competency Field</w:t>
      </w:r>
    </w:p>
    <w:p w:rsidR="009021A8" w:rsidP="009021A8">
      <w:pPr>
        <w:pStyle w:val="BodyText"/>
      </w:pPr>
      <w:r w:rsidRPr="00251CBE">
        <w:t>Quality</w:t>
      </w:r>
    </w:p>
    <w:p w:rsidR="00000000" w:rsidRPr="00251CBE" w:rsidP="00251CBE">
      <w:pPr>
        <w:pStyle w:val="Heading1"/>
      </w:pPr>
      <w:bookmarkStart w:id="5" w:name="O_953215"/>
      <w:bookmarkEnd w:id="5"/>
      <w:r w:rsidRPr="00251CBE">
        <w:t>Elements and Performance Criteria</w:t>
      </w:r>
    </w:p>
    <w:tbl>
      <w:tblPr>
        <w:tblW w:w="9639" w:type="dxa"/>
        <w:tblLayout w:type="fixed"/>
        <w:tblCellMar>
          <w:left w:w="62" w:type="dxa"/>
          <w:right w:w="62" w:type="dxa"/>
        </w:tblCellMar>
        <w:tblLook w:val="0000"/>
      </w:tblPr>
      <w:tblGrid>
        <w:gridCol w:w="2531"/>
        <w:gridCol w:w="7108"/>
      </w:tblGrid>
      <w:tr w:rsidTr="009021A8">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51CBE" w:rsidP="00251CBE">
            <w:pPr>
              <w:pStyle w:val="BodyText"/>
            </w:pPr>
            <w:r w:rsidRPr="00251CBE">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51CBE">
            <w:pPr>
              <w:pStyle w:val="BodyText"/>
              <w:rPr>
                <w:lang w:val="en-NZ"/>
              </w:rPr>
            </w:pPr>
            <w:r w:rsidRPr="00251CBE">
              <w:rPr>
                <w:rStyle w:val="SpecialBold"/>
              </w:rPr>
              <w:t>Performance Criteria</w:t>
            </w:r>
          </w:p>
        </w:tc>
      </w:tr>
      <w:tr w:rsidTr="009021A8">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51CBE" w:rsidP="00251CBE">
            <w:pPr>
              <w:pStyle w:val="BodyText"/>
            </w:pPr>
            <w:r w:rsidRPr="00251CBE">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51CBE">
            <w:pPr>
              <w:pStyle w:val="BodyText"/>
              <w:rPr>
                <w:lang w:val="en-NZ"/>
              </w:rPr>
            </w:pPr>
            <w:r w:rsidRPr="00251CBE">
              <w:rPr>
                <w:rStyle w:val="Emphasis"/>
              </w:rPr>
              <w:t>Performance criteria describe the performance needed to demonstrate achievement of the element.</w:t>
            </w:r>
          </w:p>
        </w:tc>
      </w:tr>
      <w:tr w:rsidTr="009021A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CBE">
            <w:pPr>
              <w:pStyle w:val="BodyText"/>
              <w:rPr>
                <w:lang w:val="en-NZ"/>
              </w:rPr>
            </w:pPr>
            <w:r w:rsidRPr="00251CBE">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CBE" w:rsidP="00251CBE">
            <w:pPr>
              <w:pStyle w:val="BodyText"/>
            </w:pPr>
            <w:r w:rsidRPr="00251CBE">
              <w:t>1.1 Follow standard operating procedures (SOPs)</w:t>
            </w:r>
          </w:p>
          <w:p w:rsidR="00000000" w:rsidRPr="00251CBE" w:rsidP="00251CBE">
            <w:pPr>
              <w:pStyle w:val="BodyText"/>
            </w:pPr>
            <w:r w:rsidRPr="00251CBE">
              <w:t>1.2 Comply with work health and safety (WHS) requirements at all times</w:t>
            </w:r>
          </w:p>
          <w:p w:rsidR="00000000" w:rsidRPr="00251CBE" w:rsidP="00251CBE">
            <w:pPr>
              <w:pStyle w:val="BodyText"/>
            </w:pPr>
            <w:r w:rsidRPr="00251CBE">
              <w:t>1.3 Assess</w:t>
            </w:r>
            <w:r w:rsidRPr="00251CBE">
              <w:t xml:space="preserve"> servicing licensee</w:t>
            </w:r>
            <w:r>
              <w:t>’</w:t>
            </w:r>
            <w:r w:rsidRPr="00251CBE">
              <w:t>s documentation for compliance with organisational requirements</w:t>
            </w:r>
          </w:p>
          <w:p w:rsidR="00000000" w:rsidP="00251CBE">
            <w:pPr>
              <w:pStyle w:val="BodyText"/>
              <w:rPr>
                <w:lang w:val="en-NZ"/>
              </w:rPr>
            </w:pPr>
            <w:r w:rsidRPr="00251CBE">
              <w:t>1.4 Generate a list of measuring instruments to be audited using organisational procedures</w:t>
            </w:r>
          </w:p>
        </w:tc>
      </w:tr>
      <w:tr w:rsidTr="009021A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CBE">
            <w:pPr>
              <w:pStyle w:val="BodyText"/>
              <w:rPr>
                <w:lang w:val="en-NZ"/>
              </w:rPr>
            </w:pPr>
            <w:r w:rsidRPr="00251CBE">
              <w:t>2. Conduct performance audits on certifiers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CBE" w:rsidP="00251CBE">
            <w:pPr>
              <w:pStyle w:val="BodyText"/>
            </w:pPr>
            <w:r w:rsidRPr="00251CBE">
              <w:t>2.1 Perform inspection of measuring instruments to determine compliance in accordance with legislation and organisational procedures</w:t>
            </w:r>
          </w:p>
          <w:p w:rsidR="00000000" w:rsidRPr="00251CBE" w:rsidP="00251CBE">
            <w:pPr>
              <w:pStyle w:val="BodyText"/>
            </w:pPr>
            <w:r w:rsidRPr="00251CBE">
              <w:t>2.2 Assess the certifier</w:t>
            </w:r>
            <w:r>
              <w:t>’</w:t>
            </w:r>
            <w:r w:rsidRPr="00251CBE">
              <w:t>s procedures and documentation to ensure legislative requirements are met</w:t>
            </w:r>
          </w:p>
          <w:p w:rsidR="00000000" w:rsidRPr="00251CBE" w:rsidP="00251CBE">
            <w:pPr>
              <w:pStyle w:val="BodyText"/>
            </w:pPr>
            <w:r w:rsidRPr="00251CBE">
              <w:t>2.3 Record results of au</w:t>
            </w:r>
            <w:r w:rsidRPr="00251CBE">
              <w:t>dit in the organisation</w:t>
            </w:r>
            <w:r>
              <w:t>’</w:t>
            </w:r>
            <w:r w:rsidRPr="00251CBE">
              <w:t>s information system</w:t>
            </w:r>
          </w:p>
          <w:p w:rsidR="00000000" w:rsidP="00251CBE">
            <w:pPr>
              <w:pStyle w:val="BodyText"/>
              <w:rPr>
                <w:lang w:val="en-NZ"/>
              </w:rPr>
            </w:pPr>
            <w:r w:rsidRPr="00251CBE">
              <w:t>2.4 Determine and apply action required to remedy non-compliance</w:t>
            </w:r>
          </w:p>
        </w:tc>
      </w:tr>
      <w:tr w:rsidTr="009021A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CBE">
            <w:pPr>
              <w:pStyle w:val="BodyText"/>
              <w:rPr>
                <w:lang w:val="en-NZ"/>
              </w:rPr>
            </w:pPr>
            <w:r w:rsidRPr="00251CBE">
              <w:t>3. Examine public weighbridge licensee</w:t>
            </w:r>
            <w:r>
              <w:t>’</w:t>
            </w:r>
            <w:r w:rsidRPr="00251CBE">
              <w:t>s operations for compliance with legislation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CBE" w:rsidP="00251CBE">
            <w:pPr>
              <w:pStyle w:val="BodyText"/>
            </w:pPr>
            <w:r w:rsidRPr="00251CBE">
              <w:t>3.1 Assess licensee</w:t>
            </w:r>
            <w:r>
              <w:t>’</w:t>
            </w:r>
            <w:r w:rsidRPr="00251CBE">
              <w:t>s documentation for compliance with legis</w:t>
            </w:r>
            <w:r w:rsidRPr="00251CBE">
              <w:t>lation and organisational requirements</w:t>
            </w:r>
          </w:p>
          <w:p w:rsidR="00000000" w:rsidRPr="00251CBE" w:rsidP="00251CBE">
            <w:pPr>
              <w:pStyle w:val="BodyText"/>
            </w:pPr>
            <w:r w:rsidRPr="00251CBE">
              <w:t>3.2 Observe the operator</w:t>
            </w:r>
            <w:r>
              <w:t>’</w:t>
            </w:r>
            <w:r w:rsidRPr="00251CBE">
              <w:t>s ability to undertake public weighbridge duties for compliance with legislation</w:t>
            </w:r>
          </w:p>
          <w:p w:rsidR="00000000" w:rsidRPr="00251CBE" w:rsidP="00251CBE">
            <w:pPr>
              <w:pStyle w:val="BodyText"/>
            </w:pPr>
            <w:r w:rsidRPr="00251CBE">
              <w:t>3.3 Determine and apply action required to remedy non-compliance</w:t>
            </w:r>
          </w:p>
        </w:tc>
      </w:tr>
    </w:tbl>
    <w:p w:rsidR="009021A8" w:rsidP="00251CBE">
      <w:pPr>
        <w:pStyle w:val="BodyText"/>
      </w:pPr>
    </w:p>
    <w:p w:rsidR="009021A8" w:rsidP="00251CBE">
      <w:pPr>
        <w:pStyle w:val="BodyText"/>
      </w:pPr>
    </w:p>
    <w:p w:rsidR="00000000" w:rsidRPr="00251CBE" w:rsidP="00251CBE">
      <w:pPr>
        <w:pStyle w:val="Heading1"/>
      </w:pPr>
      <w:bookmarkStart w:id="6" w:name="O_953214"/>
      <w:bookmarkEnd w:id="6"/>
      <w:r w:rsidRPr="00251CBE">
        <w:t>Foundation Skills</w:t>
      </w:r>
    </w:p>
    <w:p w:rsidR="00000000" w:rsidRPr="00251CBE" w:rsidP="009021A8">
      <w:pPr>
        <w:pStyle w:val="BodyText"/>
      </w:pPr>
      <w:r w:rsidRPr="00251CBE">
        <w:t>This sec</w:t>
      </w:r>
      <w:r w:rsidRPr="00251CBE">
        <w:t>tion describes those language, literacy, numeracy and employment skills that are essential to performance.</w:t>
      </w:r>
    </w:p>
    <w:p w:rsidR="009021A8" w:rsidP="009021A8">
      <w:pPr>
        <w:pStyle w:val="BodyText"/>
      </w:pPr>
      <w:r w:rsidRPr="00251CBE">
        <w:t>Foundation skills essential to performance are explicit in the performance criteria of this unit of competency.</w:t>
      </w:r>
    </w:p>
    <w:p w:rsidR="00000000" w:rsidRPr="00251CBE" w:rsidP="00251CBE">
      <w:pPr>
        <w:pStyle w:val="Heading1"/>
      </w:pPr>
      <w:bookmarkStart w:id="7" w:name="O_953213"/>
      <w:bookmarkEnd w:id="7"/>
      <w:r w:rsidRPr="00251CBE">
        <w:t>Range of Conditions</w:t>
      </w:r>
    </w:p>
    <w:tbl>
      <w:tblPr>
        <w:tblW w:w="9638" w:type="dxa"/>
        <w:tblLayout w:type="fixed"/>
        <w:tblCellMar>
          <w:left w:w="62" w:type="dxa"/>
          <w:right w:w="62" w:type="dxa"/>
        </w:tblCellMar>
        <w:tblLook w:val="0000"/>
      </w:tblPr>
      <w:tblGrid>
        <w:gridCol w:w="2758"/>
        <w:gridCol w:w="6880"/>
      </w:tblGrid>
      <w:tr w:rsidTr="00251CBE">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CBE">
            <w:pPr>
              <w:pStyle w:val="BodyText"/>
              <w:rPr>
                <w:lang w:val="en-NZ"/>
              </w:rPr>
            </w:pPr>
            <w:r w:rsidRPr="00251CBE">
              <w:t>This field allows for different work environments and conditions that may affect performance. Essential operating conditions that may be present (depending on the work situation, needs of the candidate, accessibility of the item, and local industry and re</w:t>
            </w:r>
            <w:r w:rsidRPr="00251CBE">
              <w:t>gional contexts) are included.</w:t>
            </w:r>
          </w:p>
        </w:tc>
      </w:tr>
      <w:tr w:rsidTr="00251CB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CBE">
            <w:pPr>
              <w:pStyle w:val="BodyText"/>
              <w:rPr>
                <w:lang w:val="en-NZ"/>
              </w:rPr>
            </w:pPr>
            <w:r w:rsidRPr="00251CBE">
              <w:t>Reference 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CBE" w:rsidP="00251CBE">
            <w:pPr>
              <w:pStyle w:val="ListBullet"/>
            </w:pPr>
            <w:r w:rsidRPr="00251CBE">
              <w:t>National Measurement Institute (NMI) Certificates of Approval</w:t>
            </w:r>
          </w:p>
          <w:p w:rsidR="00000000" w:rsidRPr="00251CBE" w:rsidP="00251CBE">
            <w:pPr>
              <w:pStyle w:val="ListBullet"/>
            </w:pPr>
            <w:r w:rsidRPr="00251CBE">
              <w:t>uniform test procedures</w:t>
            </w:r>
          </w:p>
          <w:p w:rsidR="00000000" w:rsidRPr="00251CBE" w:rsidP="00251CBE">
            <w:pPr>
              <w:pStyle w:val="ListBullet"/>
            </w:pPr>
            <w:r w:rsidRPr="00251CBE">
              <w:t>organisational procedures and guidelines</w:t>
            </w:r>
          </w:p>
          <w:p w:rsidR="00000000" w:rsidP="00251CBE">
            <w:pPr>
              <w:pStyle w:val="ListBullet"/>
              <w:rPr>
                <w:lang w:val="en-NZ"/>
              </w:rPr>
            </w:pPr>
            <w:r w:rsidRPr="00251CBE">
              <w:t>inspector handbook.</w:t>
            </w:r>
          </w:p>
        </w:tc>
      </w:tr>
      <w:tr w:rsidTr="00251CB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CBE">
            <w:pPr>
              <w:pStyle w:val="BodyText"/>
              <w:rPr>
                <w:lang w:val="en-NZ"/>
              </w:rPr>
            </w:pPr>
            <w:r w:rsidRPr="00251CBE">
              <w:t xml:space="preserve">WHS considerations include one or more of the following: </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CBE" w:rsidP="00251CBE">
            <w:pPr>
              <w:pStyle w:val="ListBullet"/>
            </w:pPr>
            <w:r w:rsidRPr="00251CBE">
              <w:t>storage and transportation of test equipment</w:t>
            </w:r>
          </w:p>
          <w:p w:rsidR="00000000" w:rsidRPr="00251CBE" w:rsidP="00251CBE">
            <w:pPr>
              <w:pStyle w:val="ListBullet"/>
            </w:pPr>
            <w:r w:rsidRPr="00251CBE">
              <w:t>site/premises conditions</w:t>
            </w:r>
          </w:p>
          <w:p w:rsidR="00000000" w:rsidRPr="00251CBE" w:rsidP="00251CBE">
            <w:pPr>
              <w:pStyle w:val="ListBullet"/>
            </w:pPr>
            <w:r w:rsidRPr="00251CBE">
              <w:t>specific safety equipment and clothing</w:t>
            </w:r>
          </w:p>
          <w:p w:rsidR="00000000" w:rsidP="00251CBE">
            <w:pPr>
              <w:pStyle w:val="ListBullet"/>
              <w:rPr>
                <w:lang w:val="en-NZ"/>
              </w:rPr>
            </w:pPr>
            <w:r w:rsidRPr="00251CBE">
              <w:t>manual handling techniques.</w:t>
            </w:r>
          </w:p>
        </w:tc>
      </w:tr>
      <w:tr w:rsidTr="00251CB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CBE">
            <w:pPr>
              <w:pStyle w:val="BodyText"/>
              <w:rPr>
                <w:lang w:val="en-NZ"/>
              </w:rPr>
            </w:pPr>
            <w:r w:rsidRPr="00251CBE">
              <w:t xml:space="preserve">Legislation and organisational policies/procedures include </w:t>
            </w:r>
            <w:r w:rsidRPr="00251CBE">
              <w:t>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CBE" w:rsidP="00251CBE">
            <w:pPr>
              <w:pStyle w:val="ListBullet"/>
            </w:pPr>
            <w:r w:rsidRPr="00251CBE">
              <w:t>enabling legislation</w:t>
            </w:r>
          </w:p>
          <w:p w:rsidR="00000000" w:rsidRPr="00251CBE" w:rsidP="00251CBE">
            <w:pPr>
              <w:pStyle w:val="ListBullet"/>
            </w:pPr>
            <w:r w:rsidRPr="00251CBE">
              <w:t xml:space="preserve">WHS </w:t>
            </w:r>
          </w:p>
          <w:p w:rsidR="00000000" w:rsidRPr="00251CBE" w:rsidP="00251CBE">
            <w:pPr>
              <w:pStyle w:val="ListBullet"/>
            </w:pPr>
            <w:r w:rsidRPr="00251CBE">
              <w:t>organisational policies and procedures</w:t>
            </w:r>
          </w:p>
          <w:p w:rsidR="00000000" w:rsidRPr="00251CBE" w:rsidP="00251CBE">
            <w:pPr>
              <w:pStyle w:val="ListBullet"/>
            </w:pPr>
            <w:r w:rsidRPr="00251CBE">
              <w:t>licensing conditions</w:t>
            </w:r>
          </w:p>
          <w:p w:rsidR="00000000" w:rsidP="00251CBE">
            <w:pPr>
              <w:pStyle w:val="ListBullet"/>
              <w:rPr>
                <w:lang w:val="en-NZ"/>
              </w:rPr>
            </w:pPr>
            <w:r w:rsidRPr="00251CBE">
              <w:t>enforcement policies.</w:t>
            </w:r>
          </w:p>
        </w:tc>
      </w:tr>
      <w:tr w:rsidTr="00251CB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CBE">
            <w:pPr>
              <w:pStyle w:val="BodyText"/>
              <w:rPr>
                <w:lang w:val="en-NZ"/>
              </w:rPr>
            </w:pPr>
            <w:r w:rsidRPr="00251CBE">
              <w:t>Documentation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CBE" w:rsidP="00251CBE">
            <w:pPr>
              <w:pStyle w:val="ListBullet"/>
            </w:pPr>
            <w:r w:rsidRPr="00251CBE">
              <w:t>application forms</w:t>
            </w:r>
          </w:p>
          <w:p w:rsidR="00000000" w:rsidRPr="00251CBE" w:rsidP="00251CBE">
            <w:pPr>
              <w:pStyle w:val="ListBullet"/>
            </w:pPr>
            <w:r w:rsidRPr="00251CBE">
              <w:t>certification forms</w:t>
            </w:r>
          </w:p>
          <w:p w:rsidR="00000000" w:rsidRPr="00251CBE" w:rsidP="00251CBE">
            <w:pPr>
              <w:pStyle w:val="ListBullet"/>
            </w:pPr>
            <w:r w:rsidRPr="00251CBE">
              <w:t>non-compliance forms</w:t>
            </w:r>
          </w:p>
          <w:p w:rsidR="00000000" w:rsidRPr="00251CBE" w:rsidP="00251CBE">
            <w:pPr>
              <w:pStyle w:val="ListBullet"/>
            </w:pPr>
            <w:r w:rsidRPr="00251CBE">
              <w:t>public weighbridge tickets</w:t>
            </w:r>
          </w:p>
          <w:p w:rsidR="00000000" w:rsidRPr="00251CBE" w:rsidP="00251CBE">
            <w:pPr>
              <w:pStyle w:val="ListBullet"/>
            </w:pPr>
            <w:r w:rsidRPr="00251CBE">
              <w:t>documents as specified by legislation</w:t>
            </w:r>
          </w:p>
          <w:p w:rsidR="00000000" w:rsidRPr="00251CBE" w:rsidP="00251CBE">
            <w:pPr>
              <w:pStyle w:val="ListBullet"/>
            </w:pPr>
            <w:r w:rsidRPr="00251CBE">
              <w:t>educational material/brochures</w:t>
            </w:r>
          </w:p>
          <w:p w:rsidR="00000000" w:rsidRPr="00251CBE" w:rsidP="00251CBE">
            <w:pPr>
              <w:pStyle w:val="ListBullet"/>
            </w:pPr>
            <w:r w:rsidRPr="00251CBE">
              <w:t>batch test histograms.</w:t>
            </w:r>
          </w:p>
        </w:tc>
      </w:tr>
    </w:tbl>
    <w:p w:rsidR="009021A8" w:rsidP="00251CBE">
      <w:pPr>
        <w:pStyle w:val="BodyText"/>
      </w:pPr>
    </w:p>
    <w:p w:rsidR="009021A8" w:rsidP="00251CBE">
      <w:pPr>
        <w:pStyle w:val="BodyText"/>
      </w:pPr>
    </w:p>
    <w:p w:rsidR="00000000" w:rsidRPr="00251CBE" w:rsidP="00251CBE">
      <w:pPr>
        <w:pStyle w:val="Heading1"/>
      </w:pPr>
      <w:bookmarkStart w:id="8" w:name="O_953212"/>
      <w:bookmarkEnd w:id="8"/>
      <w:r w:rsidRPr="00251CBE">
        <w:t>Unit Mapping Information</w:t>
      </w:r>
    </w:p>
    <w:p w:rsidR="009021A8" w:rsidP="009021A8">
      <w:pPr>
        <w:pStyle w:val="BodyText"/>
      </w:pPr>
      <w:r w:rsidRPr="00251CBE">
        <w:t>Release 1. Su</w:t>
      </w:r>
      <w:r w:rsidRPr="00251CBE">
        <w:t>persedes and is equivalent to MEM15021C Conduct audits of servicing licensees and public weighbridge licensees.</w:t>
      </w:r>
    </w:p>
    <w:p w:rsidR="00000000" w:rsidRPr="00251CBE" w:rsidP="00251CBE">
      <w:pPr>
        <w:pStyle w:val="Heading1"/>
      </w:pPr>
      <w:bookmarkStart w:id="9" w:name="O_953205"/>
      <w:bookmarkEnd w:id="9"/>
      <w:r w:rsidRPr="00251CBE">
        <w:t>Links</w:t>
      </w:r>
    </w:p>
    <w:p w:rsidR="00000000" w:rsidRPr="00251CBE" w:rsidP="009021A8">
      <w:pPr>
        <w:pStyle w:val="BodyText"/>
      </w:pPr>
      <w:r w:rsidRPr="00251CB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D74BD">
        <w:rPr>
          <w:rStyle w:val="Hyperlink"/>
        </w:rPr>
        <w:t>https://vetnet.gov.au/Pages/TrainingDocs.aspx?q=b7050d37-5fd0-4740-8f7d-3b7a49c10bb2</w:t>
      </w:r>
      <w:r>
        <w:fldChar w:fldCharType="end"/>
      </w:r>
    </w:p>
    <w:p w:rsidR="00000000" w:rsidRPr="00251CBE" w:rsidP="009021A8">
      <w:pPr>
        <w:pStyle w:val="BodyText"/>
        <w:sectPr w:rsidSect="00251CBE">
          <w:headerReference w:type="default" r:id="rId10"/>
          <w:footerReference w:type="default" r:id="rId11"/>
          <w:pgSz w:w="11908" w:h="16833"/>
          <w:pgMar w:top="1702" w:right="1418" w:bottom="1702" w:left="1418" w:header="992" w:footer="992" w:gutter="0"/>
          <w:cols w:space="720"/>
          <w:noEndnote/>
          <w:docGrid w:linePitch="299"/>
        </w:sectPr>
      </w:pPr>
    </w:p>
    <w:p w:rsidR="00000000" w:rsidRPr="00251CBE" w:rsidP="00251CBE">
      <w:pPr>
        <w:pStyle w:val="SuperHeading"/>
      </w:pPr>
      <w:r w:rsidRPr="00251CBE">
        <w:t>Assessment Requirements for MEM15021 Conduct audits of servicing licensees and public weighbridge licensees</w:t>
      </w:r>
    </w:p>
    <w:p w:rsidR="00000000" w:rsidRPr="00251CBE" w:rsidP="00251CBE">
      <w:pPr>
        <w:pStyle w:val="Heading1"/>
      </w:pPr>
      <w:bookmarkStart w:id="10" w:name="O_953207"/>
      <w:bookmarkEnd w:id="10"/>
      <w:r w:rsidRPr="00251CBE">
        <w:t>Modification History</w:t>
      </w:r>
    </w:p>
    <w:p w:rsidR="009021A8" w:rsidP="009021A8">
      <w:pPr>
        <w:pStyle w:val="BodyText"/>
      </w:pPr>
      <w:r w:rsidRPr="00251CBE">
        <w:t>Release 1. Supersedes and is equivalen</w:t>
      </w:r>
      <w:r w:rsidRPr="00251CBE">
        <w:t>t to MEM15021C Conduct audits of servicing licensees and public weighbridge licensees.</w:t>
      </w:r>
    </w:p>
    <w:p w:rsidR="00000000" w:rsidRPr="00251CBE" w:rsidP="00251CBE">
      <w:pPr>
        <w:pStyle w:val="Heading1"/>
      </w:pPr>
      <w:bookmarkStart w:id="11" w:name="O_953210"/>
      <w:bookmarkEnd w:id="11"/>
      <w:r w:rsidRPr="00251CBE">
        <w:t>Performance Evidence</w:t>
      </w:r>
    </w:p>
    <w:p w:rsidR="00000000" w:rsidRPr="00251CBE" w:rsidP="009021A8">
      <w:pPr>
        <w:pStyle w:val="BodyText"/>
      </w:pPr>
      <w:r w:rsidRPr="00251CBE">
        <w:t>Evidence required to demonstrate competence in this unit must be relevant to and satisfy the requirements of the elements and performance criteria and include:</w:t>
      </w:r>
    </w:p>
    <w:p w:rsidR="00000000" w:rsidRPr="00251CBE" w:rsidP="00251CBE">
      <w:pPr>
        <w:pStyle w:val="ListBullet"/>
      </w:pPr>
      <w:r w:rsidRPr="00251CBE">
        <w:t xml:space="preserve">following work instructions, standard operating procedures (SOPs) and safe work practices </w:t>
      </w:r>
    </w:p>
    <w:p w:rsidR="00000000" w:rsidRPr="00251CBE" w:rsidP="00251CBE">
      <w:pPr>
        <w:pStyle w:val="ListBullet"/>
      </w:pPr>
      <w:r w:rsidRPr="00251CBE">
        <w:t>eval</w:t>
      </w:r>
      <w:r w:rsidRPr="00251CBE">
        <w:t xml:space="preserve">uating servicing licensee’s documentation for completeness of information in line with legislation and organisational requirements </w:t>
      </w:r>
    </w:p>
    <w:p w:rsidR="00000000" w:rsidRPr="00251CBE" w:rsidP="00251CBE">
      <w:pPr>
        <w:pStyle w:val="ListBullet"/>
      </w:pPr>
      <w:r w:rsidRPr="00251CBE">
        <w:t>monitoring lodgement of servicing licensee’s documentation for compliance</w:t>
      </w:r>
    </w:p>
    <w:p w:rsidR="00000000" w:rsidRPr="00251CBE" w:rsidP="00251CBE">
      <w:pPr>
        <w:pStyle w:val="ListBullet"/>
      </w:pPr>
      <w:r w:rsidRPr="00251CBE">
        <w:t>selecting test instruments for auditing, schedulin</w:t>
      </w:r>
      <w:r w:rsidRPr="00251CBE">
        <w:t>g audits, testing instruments and recording instrument errors on at least two occasions</w:t>
      </w:r>
    </w:p>
    <w:p w:rsidR="00000000" w:rsidRPr="00251CBE" w:rsidP="00251CBE">
      <w:pPr>
        <w:pStyle w:val="ListBullet"/>
      </w:pPr>
      <w:r w:rsidRPr="00251CBE">
        <w:t>assessing the certifier’s documentation against the instrument certified and legislative requirements on at least two occasions</w:t>
      </w:r>
    </w:p>
    <w:p w:rsidR="00000000" w:rsidRPr="00251CBE" w:rsidP="00251CBE">
      <w:pPr>
        <w:pStyle w:val="ListBullet"/>
      </w:pPr>
      <w:r w:rsidRPr="00251CBE">
        <w:t>assessing signage, certificates and public weighbridge tickets for accuracy on at least two occasions</w:t>
      </w:r>
    </w:p>
    <w:p w:rsidR="00000000" w:rsidRPr="00251CBE" w:rsidP="00251CBE">
      <w:pPr>
        <w:pStyle w:val="ListBullet"/>
      </w:pPr>
      <w:r w:rsidRPr="00251CBE">
        <w:t xml:space="preserve">evaluating the operator’s ability to perform the duties of a public weigher </w:t>
      </w:r>
    </w:p>
    <w:p w:rsidR="00000000" w:rsidRPr="00251CBE" w:rsidP="00251CBE">
      <w:pPr>
        <w:pStyle w:val="ListBullet"/>
      </w:pPr>
      <w:r w:rsidRPr="00251CBE">
        <w:t>completing audit reports and determining and implementing appropriate remedia</w:t>
      </w:r>
      <w:r w:rsidRPr="00251CBE">
        <w:t>l action for all detected breaches.</w:t>
      </w:r>
    </w:p>
    <w:p w:rsidR="00000000" w:rsidRPr="00251CBE" w:rsidP="00251CBE">
      <w:pPr>
        <w:pStyle w:val="BodyText"/>
      </w:pPr>
    </w:p>
    <w:p w:rsidR="009021A8" w:rsidRPr="009021A8" w:rsidP="009021A8">
      <w:pPr>
        <w:pStyle w:val="BodyText"/>
        <w:rPr>
          <w:i/>
        </w:rPr>
      </w:pPr>
      <w:r w:rsidRPr="009021A8">
        <w:rPr>
          <w:rStyle w:val="Emphasis"/>
        </w:rPr>
        <w:t>Note: Where a volume and/or frequency is not specified, demonstration must be provided at least once.</w:t>
      </w:r>
    </w:p>
    <w:p w:rsidR="00000000" w:rsidRPr="00251CBE" w:rsidP="00251CBE">
      <w:pPr>
        <w:pStyle w:val="Heading1"/>
      </w:pPr>
      <w:bookmarkStart w:id="12" w:name="O_953209"/>
      <w:bookmarkEnd w:id="12"/>
      <w:r w:rsidRPr="00251CBE">
        <w:t>Knowledge Evidence</w:t>
      </w:r>
    </w:p>
    <w:p w:rsidR="00000000" w:rsidRPr="00251CBE" w:rsidP="009021A8">
      <w:pPr>
        <w:pStyle w:val="BodyText"/>
      </w:pPr>
      <w:r w:rsidRPr="00251CBE">
        <w:t>Evidence required to demonstrate the required knowledge for this unit must be re</w:t>
      </w:r>
      <w:r w:rsidRPr="00251CBE">
        <w:t>levant to and satisfy the requirements of the elements and performance criteria and include knowledge of:</w:t>
      </w:r>
    </w:p>
    <w:p w:rsidR="00000000" w:rsidRPr="00251CBE" w:rsidP="00251CBE">
      <w:pPr>
        <w:pStyle w:val="ListBullet"/>
      </w:pPr>
      <w:r w:rsidRPr="00251CBE">
        <w:t xml:space="preserve">safe work practices and procedures </w:t>
      </w:r>
    </w:p>
    <w:p w:rsidR="00000000" w:rsidRPr="00251CBE" w:rsidP="00251CBE">
      <w:pPr>
        <w:pStyle w:val="ListBullet"/>
      </w:pPr>
      <w:r w:rsidRPr="00251CBE">
        <w:t>reference materials</w:t>
      </w:r>
    </w:p>
    <w:p w:rsidR="00000000" w:rsidRPr="00251CBE" w:rsidP="00251CBE">
      <w:pPr>
        <w:pStyle w:val="ListBullet"/>
      </w:pPr>
      <w:r w:rsidRPr="00251CBE">
        <w:t>major components of the licensing system for certification of measuring instruments, includin</w:t>
      </w:r>
      <w:r w:rsidRPr="00251CBE">
        <w:t>g:</w:t>
      </w:r>
    </w:p>
    <w:p w:rsidR="00000000" w:rsidRPr="00251CBE" w:rsidP="00251CBE">
      <w:pPr>
        <w:pStyle w:val="ListBullet2"/>
      </w:pPr>
      <w:r w:rsidRPr="00251CBE">
        <w:t>legislative requirements</w:t>
      </w:r>
    </w:p>
    <w:p w:rsidR="00000000" w:rsidRPr="00251CBE" w:rsidP="00251CBE">
      <w:pPr>
        <w:pStyle w:val="ListBullet2"/>
      </w:pPr>
      <w:r w:rsidRPr="00251CBE">
        <w:t>eligibility</w:t>
      </w:r>
    </w:p>
    <w:p w:rsidR="00000000" w:rsidRPr="00251CBE" w:rsidP="00251CBE">
      <w:pPr>
        <w:pStyle w:val="ListBullet2"/>
      </w:pPr>
      <w:r w:rsidRPr="00251CBE">
        <w:t>conditions of licence including provision of competent employees</w:t>
      </w:r>
    </w:p>
    <w:p w:rsidR="00000000" w:rsidRPr="00251CBE" w:rsidP="00251CBE">
      <w:pPr>
        <w:pStyle w:val="ListBullet2"/>
      </w:pPr>
      <w:r w:rsidRPr="00251CBE">
        <w:t>provision of reference standards</w:t>
      </w:r>
    </w:p>
    <w:p w:rsidR="00000000" w:rsidRPr="00251CBE" w:rsidP="00251CBE">
      <w:pPr>
        <w:pStyle w:val="ListBullet2"/>
      </w:pPr>
      <w:r w:rsidRPr="00251CBE">
        <w:t>use of test procedures</w:t>
      </w:r>
    </w:p>
    <w:p w:rsidR="00000000" w:rsidRPr="00251CBE" w:rsidP="00251CBE">
      <w:pPr>
        <w:pStyle w:val="ListBullet2"/>
      </w:pPr>
      <w:r w:rsidRPr="00251CBE">
        <w:t xml:space="preserve">use of reporting documentation </w:t>
      </w:r>
    </w:p>
    <w:p w:rsidR="00000000" w:rsidRPr="00251CBE" w:rsidP="00251CBE">
      <w:pPr>
        <w:pStyle w:val="ListBullet2"/>
      </w:pPr>
      <w:r w:rsidRPr="00251CBE">
        <w:t>quality assurance systems</w:t>
      </w:r>
    </w:p>
    <w:p w:rsidR="00000000" w:rsidRPr="00251CBE" w:rsidP="00251CBE">
      <w:pPr>
        <w:pStyle w:val="ListBullet"/>
      </w:pPr>
      <w:r w:rsidRPr="00251CBE">
        <w:t>major components of the licensing system for public weighbridges, including:</w:t>
      </w:r>
    </w:p>
    <w:p w:rsidR="00000000" w:rsidRPr="00251CBE" w:rsidP="00251CBE">
      <w:pPr>
        <w:pStyle w:val="ListBullet2"/>
      </w:pPr>
      <w:r w:rsidRPr="00251CBE">
        <w:t>legislative requirements</w:t>
      </w:r>
    </w:p>
    <w:p w:rsidR="00000000" w:rsidRPr="00251CBE" w:rsidP="00251CBE">
      <w:pPr>
        <w:pStyle w:val="ListBullet2"/>
      </w:pPr>
      <w:r w:rsidRPr="00251CBE">
        <w:t>eligibility and conditions of licence, including provision of competent employees</w:t>
      </w:r>
    </w:p>
    <w:p w:rsidR="00000000" w:rsidRPr="00251CBE" w:rsidP="00251CBE">
      <w:pPr>
        <w:pStyle w:val="ListBullet2"/>
      </w:pPr>
      <w:r w:rsidRPr="00251CBE">
        <w:t>maintaining accuracy of the public weighbridge</w:t>
      </w:r>
    </w:p>
    <w:p w:rsidR="00000000" w:rsidRPr="00251CBE" w:rsidP="00251CBE">
      <w:pPr>
        <w:pStyle w:val="ListBullet2"/>
      </w:pPr>
      <w:r w:rsidRPr="00251CBE">
        <w:t>weighing methods and obl</w:t>
      </w:r>
      <w:r w:rsidRPr="00251CBE">
        <w:t>igations</w:t>
      </w:r>
    </w:p>
    <w:p w:rsidR="00000000" w:rsidRPr="00251CBE" w:rsidP="00251CBE">
      <w:pPr>
        <w:pStyle w:val="ListBullet2"/>
      </w:pPr>
      <w:r w:rsidRPr="00251CBE">
        <w:t>use of reporting documentation</w:t>
      </w:r>
    </w:p>
    <w:p w:rsidR="00000000" w:rsidRPr="00251CBE" w:rsidP="00251CBE">
      <w:pPr>
        <w:pStyle w:val="ListBullet"/>
      </w:pPr>
      <w:r w:rsidRPr="00251CBE">
        <w:t>process for issuing servicing and public weighbridge licences, specifically the activities undertaken by trade measurement personnel</w:t>
      </w:r>
    </w:p>
    <w:p w:rsidR="00000000" w:rsidRPr="00251CBE" w:rsidP="00251CBE">
      <w:pPr>
        <w:pStyle w:val="ListBullet"/>
      </w:pPr>
      <w:r w:rsidRPr="00251CBE">
        <w:t>process for handling incomplete forms</w:t>
      </w:r>
    </w:p>
    <w:p w:rsidR="00000000" w:rsidRPr="00251CBE" w:rsidP="00251CBE">
      <w:pPr>
        <w:pStyle w:val="ListBullet"/>
      </w:pPr>
      <w:r w:rsidRPr="00251CBE">
        <w:t>inspection variations between verification inspection and an audit inspection</w:t>
      </w:r>
    </w:p>
    <w:p w:rsidR="00000000" w:rsidRPr="00251CBE" w:rsidP="00251CBE">
      <w:pPr>
        <w:pStyle w:val="ListBullet"/>
      </w:pPr>
      <w:r w:rsidRPr="00251CBE">
        <w:t>reporting variations for different instruments</w:t>
      </w:r>
    </w:p>
    <w:p w:rsidR="00000000" w:rsidRPr="00251CBE" w:rsidP="00251CBE">
      <w:pPr>
        <w:pStyle w:val="ListBullet"/>
      </w:pPr>
      <w:r w:rsidRPr="00251CBE">
        <w:t>requirements and methods to complete a public weighbridge ticket</w:t>
      </w:r>
    </w:p>
    <w:p w:rsidR="00000000" w:rsidRPr="00251CBE" w:rsidP="00251CBE">
      <w:pPr>
        <w:pStyle w:val="ListBullet"/>
      </w:pPr>
      <w:r w:rsidRPr="00251CBE">
        <w:t>requirements for authority to operate a public weighbridge</w:t>
      </w:r>
    </w:p>
    <w:p w:rsidR="00000000" w:rsidRPr="00251CBE" w:rsidP="00251CBE">
      <w:pPr>
        <w:pStyle w:val="ListBullet"/>
      </w:pPr>
      <w:r w:rsidRPr="00251CBE">
        <w:t xml:space="preserve">duties </w:t>
      </w:r>
      <w:r w:rsidRPr="00251CBE">
        <w:t>of operator of public weighbridge</w:t>
      </w:r>
    </w:p>
    <w:p w:rsidR="009021A8" w:rsidP="00251CBE">
      <w:pPr>
        <w:pStyle w:val="ListBullet"/>
      </w:pPr>
      <w:r w:rsidRPr="00251CBE">
        <w:t>documents and forms used or reviewed in the auditing process</w:t>
      </w:r>
    </w:p>
    <w:p w:rsidR="009021A8" w:rsidP="00251CBE">
      <w:pPr>
        <w:pStyle w:val="ListBullet"/>
      </w:pPr>
    </w:p>
    <w:p w:rsidR="00000000" w:rsidRPr="00251CBE" w:rsidP="00251CBE">
      <w:pPr>
        <w:pStyle w:val="Heading1"/>
      </w:pPr>
      <w:bookmarkStart w:id="13" w:name="O_953208"/>
      <w:bookmarkEnd w:id="13"/>
      <w:r w:rsidRPr="00251CBE">
        <w:t>Assessment Conditions</w:t>
      </w:r>
    </w:p>
    <w:p w:rsidR="00000000" w:rsidRPr="00251CBE" w:rsidP="00251CBE">
      <w:pPr>
        <w:pStyle w:val="ListBullet"/>
      </w:pPr>
      <w:r w:rsidRPr="00251CBE">
        <w:t>Assessors must:</w:t>
      </w:r>
    </w:p>
    <w:p w:rsidR="00000000" w:rsidRPr="00251CBE" w:rsidP="00251CBE">
      <w:pPr>
        <w:pStyle w:val="ListBullet2"/>
      </w:pPr>
      <w:r w:rsidRPr="00251CBE">
        <w:t>have vocational competency in conducting audits of servicing licensees and public weighbridge licensees</w:t>
      </w:r>
      <w:r w:rsidRPr="00251CBE">
        <w:t xml:space="preserve"> at least to the level being assessed with relevant industry knowledge and experience</w:t>
      </w:r>
    </w:p>
    <w:p w:rsidR="00000000" w:rsidRPr="00251CBE" w:rsidP="00251CBE">
      <w:pPr>
        <w:pStyle w:val="ListBullet2"/>
      </w:pPr>
      <w:r w:rsidRPr="00251CBE">
        <w:t xml:space="preserve">satisfy the assessor requirements in the </w:t>
      </w:r>
      <w:r w:rsidRPr="00251CBE">
        <w:rPr>
          <w:rStyle w:val="Emphasis"/>
        </w:rPr>
        <w:t xml:space="preserve">Standards for Registered Training Organisations 2015 </w:t>
      </w:r>
      <w:r w:rsidRPr="00251CBE">
        <w:t>or its replacement</w:t>
      </w:r>
      <w:r w:rsidRPr="00251CBE">
        <w:rPr>
          <w:rStyle w:val="Emphasis"/>
        </w:rPr>
        <w:t xml:space="preserve"> </w:t>
      </w:r>
      <w:r w:rsidRPr="00251CBE">
        <w:t xml:space="preserve">and comply with the </w:t>
      </w:r>
      <w:r w:rsidRPr="00251CBE">
        <w:rPr>
          <w:rStyle w:val="Emphasis"/>
        </w:rPr>
        <w:t xml:space="preserve">National Vocational Education and Training Regulator Act 2011, </w:t>
      </w:r>
      <w:r w:rsidRPr="00251CBE">
        <w:t>its replacement</w:t>
      </w:r>
      <w:r w:rsidRPr="00251CBE">
        <w:rPr>
          <w:rStyle w:val="Emphasis"/>
        </w:rPr>
        <w:t xml:space="preserve"> </w:t>
      </w:r>
      <w:r w:rsidRPr="00251CBE">
        <w:t>or equivalent legislation covering VET regulation in a non-referring state/territory as the case requires.</w:t>
      </w:r>
    </w:p>
    <w:p w:rsidR="00000000" w:rsidRPr="00251CBE" w:rsidP="00251CBE">
      <w:pPr>
        <w:pStyle w:val="ListBullet"/>
      </w:pPr>
      <w:r w:rsidRPr="00251CBE">
        <w:t>Where possible, assessment must occur in operational workplace situat</w:t>
      </w:r>
      <w:r w:rsidRPr="00251CBE">
        <w:t>ions. Where this is not possible or where personal safety or environmental damage are limiting factors, assessment must occur in a sufficiently rigorous simulated environment that reflects realistic operational workplace conditions. This must cover all asp</w:t>
      </w:r>
      <w:r w:rsidRPr="00251CBE">
        <w:t>ects of workplace performance, including environment, task skills, task management skills, contingency management skills and job role environment skills.</w:t>
      </w:r>
    </w:p>
    <w:p w:rsidR="00000000" w:rsidRPr="00251CBE" w:rsidP="00251CBE">
      <w:pPr>
        <w:pStyle w:val="ListBullet"/>
      </w:pPr>
      <w:r w:rsidRPr="00251CBE">
        <w:t>Conditions for assessment must include access to all tools, equipment, materials and documentation req</w:t>
      </w:r>
      <w:r w:rsidRPr="00251CBE">
        <w:t>uired, including relevant workplace procedures, product and manufacturing specifications.</w:t>
      </w:r>
    </w:p>
    <w:p w:rsidR="009021A8" w:rsidP="00251CBE">
      <w:pPr>
        <w:pStyle w:val="ListBullet"/>
      </w:pPr>
      <w:r w:rsidRPr="00251CBE">
        <w:t>Assessment processes and techniques must be appropriate to the language, literacy and numeracy requirements of the work being performed and the needs of the candidate</w:t>
      </w:r>
      <w:r w:rsidRPr="00251CBE">
        <w:t>.</w:t>
      </w:r>
    </w:p>
    <w:p w:rsidR="009021A8" w:rsidP="00251CBE">
      <w:pPr>
        <w:pStyle w:val="ListBullet"/>
      </w:pPr>
    </w:p>
    <w:p w:rsidR="00000000" w:rsidRPr="00251CBE" w:rsidP="00251CBE">
      <w:pPr>
        <w:pStyle w:val="Heading1"/>
      </w:pPr>
      <w:bookmarkStart w:id="14" w:name="O_953206"/>
      <w:bookmarkEnd w:id="14"/>
      <w:r w:rsidRPr="00251CBE">
        <w:t>Links</w:t>
      </w:r>
    </w:p>
    <w:p w:rsidR="00000000" w:rsidRPr="00251CBE" w:rsidP="009021A8">
      <w:pPr>
        <w:pStyle w:val="BodyText"/>
      </w:pPr>
      <w:r w:rsidRPr="00251CB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D74BD">
        <w:rPr>
          <w:rStyle w:val="Hyperlink"/>
        </w:rPr>
        <w:t>https://vetnet.gov.au/Pages/TrainingDocs.aspx?q=b7050d37-5fd0-4740-8f7d-3b7a49c10bb2</w:t>
      </w:r>
      <w:r>
        <w:fldChar w:fldCharType="end"/>
      </w:r>
    </w:p>
    <w:p w:rsidR="00000000" w:rsidRPr="00251CBE" w:rsidP="00251CBE"/>
    <w:sectPr w:rsidSect="00251C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C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CBE" w:rsidRPr="009021A8" w:rsidP="009021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C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1A8" w:rsidP="00251C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021A8" w:rsidP="00251C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021A8" w:rsidP="00251C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CBE" w:rsidP="00251CBE">
    <w:pPr>
      <w:pStyle w:val="Footer"/>
      <w:framePr w:wrap="around"/>
    </w:pPr>
    <w:r>
      <w:fldChar w:fldCharType="begin"/>
    </w:r>
    <w:r>
      <w:instrText xml:space="preserve"> DOCPROPERTY  Subject  \* MERGEFORMAT </w:instrText>
    </w:r>
    <w:r>
      <w:fldChar w:fldCharType="separate"/>
    </w:r>
    <w:r w:rsidR="009021A8">
      <w:t>Approved</w:t>
    </w:r>
    <w:r w:rsidR="009021A8">
      <w:fldChar w:fldCharType="end"/>
    </w:r>
    <w:r>
      <w:tab/>
      <w:t xml:space="preserve">Page </w:t>
    </w:r>
    <w:r>
      <w:fldChar w:fldCharType="begin"/>
    </w:r>
    <w:r>
      <w:instrText xml:space="preserve"> PAGE  \* Arabic  \* MERGEFORMAT </w:instrText>
    </w:r>
    <w:r>
      <w:fldChar w:fldCharType="separate"/>
    </w:r>
    <w:r w:rsidR="009021A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21A8">
      <w:rPr>
        <w:noProof/>
      </w:rPr>
      <w:t>5</w:t>
    </w:r>
    <w:r>
      <w:rPr>
        <w:noProof/>
      </w:rPr>
      <w:fldChar w:fldCharType="end"/>
    </w:r>
  </w:p>
  <w:p w:rsidR="00251CBE" w:rsidP="00251CBE">
    <w:pPr>
      <w:pStyle w:val="Footer"/>
      <w:framePr w:wrap="around"/>
    </w:pPr>
    <w:r>
      <w:t xml:space="preserve">© Commonwealth of Australia, </w:t>
    </w:r>
    <w:r>
      <w:fldChar w:fldCharType="begin"/>
    </w:r>
    <w:r>
      <w:instrText xml:space="preserve"> DATE  \@ "yyyy"  \* MERGEFORMAT </w:instrText>
    </w:r>
    <w:r>
      <w:fldChar w:fldCharType="separate"/>
    </w:r>
    <w:r w:rsidR="009021A8">
      <w:rPr>
        <w:noProof/>
      </w:rPr>
      <w:t>2025</w:t>
    </w:r>
    <w:r>
      <w:fldChar w:fldCharType="end"/>
    </w:r>
    <w:r>
      <w:tab/>
    </w:r>
    <w:r>
      <w:fldChar w:fldCharType="begin"/>
    </w:r>
    <w:r>
      <w:instrText xml:space="preserve"> DOCPROPERTY  Author  \* MERGEFORMAT </w:instrText>
    </w:r>
    <w:r>
      <w:fldChar w:fldCharType="separate"/>
    </w:r>
    <w:r w:rsidR="009021A8">
      <w:t>Manufacturing Industry Skills Alliance</w:t>
    </w:r>
    <w:r w:rsidR="009021A8">
      <w:fldChar w:fldCharType="end"/>
    </w:r>
  </w:p>
  <w:p w:rsidR="00251CBE" w:rsidP="00251C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C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1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1CBE" w:rsidRPr="009021A8" w:rsidP="009021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C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1A8" w:rsidRPr="002D2AF8" w:rsidP="00251CBE">
    <w:pPr>
      <w:pStyle w:val="Header"/>
      <w:framePr w:wrap="around"/>
    </w:pPr>
    <w:r>
      <w:fldChar w:fldCharType="begin"/>
    </w:r>
    <w:r>
      <w:instrText xml:space="preserve"> TITLE   \* MERGEFORMAT </w:instrText>
    </w:r>
    <w:r>
      <w:fldChar w:fldCharType="separate"/>
    </w:r>
    <w:r>
      <w:t>MEM15021 Conduct audits of servicing licensees and public weighbridge licensees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21A8" w:rsidP="00251C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CBE" w:rsidRPr="002D2AF8" w:rsidP="00251CBE">
    <w:pPr>
      <w:pStyle w:val="Header"/>
      <w:framePr w:wrap="around"/>
    </w:pPr>
    <w:r>
      <w:fldChar w:fldCharType="begin"/>
    </w:r>
    <w:r>
      <w:instrText xml:space="preserve"> TITLE   \* MERGEFORMAT </w:instrText>
    </w:r>
    <w:r>
      <w:fldChar w:fldCharType="separate"/>
    </w:r>
    <w:r w:rsidR="009021A8">
      <w:t>MEM15021 Conduct audits of servicing licensees and public weighbridge licensees</w:t>
    </w:r>
    <w:r w:rsidR="009021A8">
      <w:fldChar w:fldCharType="end"/>
    </w:r>
    <w:r>
      <w:tab/>
      <w:t xml:space="preserve">Date this document was generated: </w:t>
    </w:r>
    <w:r>
      <w:fldChar w:fldCharType="begin"/>
    </w:r>
    <w:r>
      <w:instrText xml:space="preserve"> CREATEDATE  \@ "d MMMM yyyy"  \* MERGEFORMAT </w:instrText>
    </w:r>
    <w:r>
      <w:fldChar w:fldCharType="separate"/>
    </w:r>
    <w:r w:rsidR="009021A8">
      <w:rPr>
        <w:noProof/>
      </w:rPr>
      <w:t>2 March 2025</w:t>
    </w:r>
    <w:r>
      <w:fldChar w:fldCharType="end"/>
    </w:r>
  </w:p>
  <w:p w:rsidR="00251CBE" w:rsidP="00251C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26AC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90A1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B8B6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C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1CBE"/>
    <w:pPr>
      <w:spacing w:before="360" w:after="60"/>
      <w:outlineLvl w:val="0"/>
    </w:pPr>
    <w:rPr>
      <w:sz w:val="32"/>
    </w:rPr>
  </w:style>
  <w:style w:type="paragraph" w:styleId="Heading2">
    <w:name w:val="heading 2"/>
    <w:basedOn w:val="HeadingBase"/>
    <w:next w:val="BodyText"/>
    <w:link w:val="Heading2Char"/>
    <w:qFormat/>
    <w:rsid w:val="00251CBE"/>
    <w:pPr>
      <w:keepLines/>
      <w:spacing w:before="240" w:after="120"/>
      <w:outlineLvl w:val="1"/>
    </w:pPr>
    <w:rPr>
      <w:sz w:val="28"/>
      <w:szCs w:val="40"/>
    </w:rPr>
  </w:style>
  <w:style w:type="paragraph" w:styleId="Heading3">
    <w:name w:val="heading 3"/>
    <w:basedOn w:val="HeadingBase"/>
    <w:next w:val="BodyText"/>
    <w:link w:val="Heading3Char"/>
    <w:qFormat/>
    <w:rsid w:val="00251CBE"/>
    <w:pPr>
      <w:spacing w:before="180" w:after="120"/>
      <w:outlineLvl w:val="2"/>
    </w:pPr>
    <w:rPr>
      <w:spacing w:val="-10"/>
      <w:kern w:val="32"/>
    </w:rPr>
  </w:style>
  <w:style w:type="paragraph" w:styleId="Heading4">
    <w:name w:val="heading 4"/>
    <w:basedOn w:val="HeadingBase"/>
    <w:next w:val="BodyText"/>
    <w:link w:val="Heading4Char"/>
    <w:qFormat/>
    <w:rsid w:val="00251CBE"/>
    <w:pPr>
      <w:spacing w:before="160" w:after="120"/>
      <w:outlineLvl w:val="3"/>
    </w:pPr>
    <w:rPr>
      <w:sz w:val="22"/>
    </w:rPr>
  </w:style>
  <w:style w:type="paragraph" w:styleId="Heading5">
    <w:name w:val="heading 5"/>
    <w:basedOn w:val="HeadingBase"/>
    <w:next w:val="Normal"/>
    <w:link w:val="Heading5Char"/>
    <w:qFormat/>
    <w:rsid w:val="00251CBE"/>
    <w:pPr>
      <w:spacing w:before="80"/>
      <w:outlineLvl w:val="4"/>
    </w:pPr>
    <w:rPr>
      <w:color w:val="918585"/>
      <w:sz w:val="20"/>
    </w:rPr>
  </w:style>
  <w:style w:type="paragraph" w:styleId="Heading6">
    <w:name w:val="heading 6"/>
    <w:basedOn w:val="HeadingBase"/>
    <w:next w:val="Normal"/>
    <w:link w:val="Heading6Char"/>
    <w:qFormat/>
    <w:rsid w:val="00251CBE"/>
    <w:pPr>
      <w:spacing w:before="60"/>
      <w:outlineLvl w:val="5"/>
    </w:pPr>
    <w:rPr>
      <w:color w:val="918585"/>
      <w:sz w:val="20"/>
    </w:rPr>
  </w:style>
  <w:style w:type="paragraph" w:styleId="Heading7">
    <w:name w:val="heading 7"/>
    <w:basedOn w:val="Normal"/>
    <w:next w:val="Normal"/>
    <w:link w:val="Heading7Char"/>
    <w:qFormat/>
    <w:rsid w:val="00251CBE"/>
    <w:pPr>
      <w:ind w:left="720"/>
      <w:outlineLvl w:val="6"/>
    </w:pPr>
    <w:rPr>
      <w:i/>
    </w:rPr>
  </w:style>
  <w:style w:type="paragraph" w:styleId="Heading8">
    <w:name w:val="heading 8"/>
    <w:basedOn w:val="Normal"/>
    <w:next w:val="Normal"/>
    <w:link w:val="Heading8Char"/>
    <w:qFormat/>
    <w:rsid w:val="00251CBE"/>
    <w:pPr>
      <w:ind w:left="720"/>
      <w:outlineLvl w:val="7"/>
    </w:pPr>
    <w:rPr>
      <w:i/>
    </w:rPr>
  </w:style>
  <w:style w:type="paragraph" w:styleId="Heading9">
    <w:name w:val="heading 9"/>
    <w:basedOn w:val="Normal"/>
    <w:next w:val="Normal"/>
    <w:link w:val="Heading9Char"/>
    <w:qFormat/>
    <w:rsid w:val="00251CBE"/>
    <w:pPr>
      <w:ind w:left="720"/>
      <w:outlineLvl w:val="8"/>
    </w:pPr>
    <w:rPr>
      <w:i/>
    </w:rPr>
  </w:style>
  <w:style w:type="character" w:default="1" w:styleId="DefaultParagraphFont">
    <w:name w:val="Default Paragraph Font"/>
    <w:uiPriority w:val="1"/>
    <w:unhideWhenUsed/>
    <w:rsid w:val="00251C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1CBE"/>
  </w:style>
  <w:style w:type="character" w:customStyle="1" w:styleId="Heading1Char">
    <w:name w:val="Heading 1 Char"/>
    <w:basedOn w:val="DefaultParagraphFont"/>
    <w:link w:val="Heading1"/>
    <w:rsid w:val="00251CBE"/>
    <w:rPr>
      <w:rFonts w:ascii="Times New Roman" w:eastAsia="Times New Roman" w:hAnsi="Times New Roman" w:cs="Times New Roman"/>
      <w:b/>
      <w:sz w:val="32"/>
      <w:szCs w:val="20"/>
      <w:lang w:eastAsia="en-US"/>
    </w:rPr>
  </w:style>
  <w:style w:type="paragraph" w:styleId="BodyText">
    <w:name w:val="Body Text"/>
    <w:basedOn w:val="Normal"/>
    <w:link w:val="BodyTextChar"/>
    <w:rsid w:val="00251C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1CBE"/>
    <w:rPr>
      <w:rFonts w:ascii="Times New Roman" w:eastAsia="Times New Roman" w:hAnsi="Times New Roman" w:cs="Times New Roman"/>
      <w:sz w:val="24"/>
      <w:lang w:eastAsia="en-US"/>
    </w:rPr>
  </w:style>
  <w:style w:type="paragraph" w:styleId="ListBullet">
    <w:name w:val="List Bullet"/>
    <w:basedOn w:val="List"/>
    <w:rsid w:val="00251CBE"/>
    <w:pPr>
      <w:numPr>
        <w:numId w:val="12"/>
      </w:numPr>
      <w:tabs>
        <w:tab w:val="clear" w:pos="340"/>
      </w:tabs>
      <w:spacing w:before="40" w:after="40"/>
    </w:pPr>
  </w:style>
  <w:style w:type="character" w:customStyle="1" w:styleId="SpecialBold">
    <w:name w:val="Special Bold"/>
    <w:basedOn w:val="DefaultParagraphFont"/>
    <w:rsid w:val="00251CBE"/>
    <w:rPr>
      <w:b/>
      <w:spacing w:val="0"/>
    </w:rPr>
  </w:style>
  <w:style w:type="paragraph" w:styleId="ListBullet2">
    <w:name w:val="List Bullet 2"/>
    <w:basedOn w:val="List2"/>
    <w:rsid w:val="00251CBE"/>
    <w:pPr>
      <w:numPr>
        <w:numId w:val="13"/>
      </w:numPr>
      <w:tabs>
        <w:tab w:val="clear" w:pos="680"/>
      </w:tabs>
    </w:pPr>
  </w:style>
  <w:style w:type="character" w:styleId="Emphasis">
    <w:name w:val="Emphasis"/>
    <w:basedOn w:val="DefaultParagraphFont"/>
    <w:qFormat/>
    <w:rsid w:val="00251CBE"/>
    <w:rPr>
      <w:i/>
    </w:rPr>
  </w:style>
  <w:style w:type="paragraph" w:customStyle="1" w:styleId="SuperHeading">
    <w:name w:val="SuperHeading"/>
    <w:basedOn w:val="Normal"/>
    <w:rsid w:val="00251CBE"/>
    <w:pPr>
      <w:spacing w:before="240" w:after="120"/>
      <w:outlineLvl w:val="0"/>
    </w:pPr>
    <w:rPr>
      <w:rFonts w:ascii="Times New Roman" w:hAnsi="Times New Roman"/>
      <w:b/>
      <w:sz w:val="32"/>
    </w:rPr>
  </w:style>
  <w:style w:type="paragraph" w:customStyle="1" w:styleId="AllowPageBreak">
    <w:name w:val="AllowPageBreak"/>
    <w:rsid w:val="00251C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1C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1C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1C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1C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1C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1C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1C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1CBE"/>
    <w:rPr>
      <w:rFonts w:ascii="Courier New" w:eastAsia="Times New Roman" w:hAnsi="Courier New" w:cs="Times New Roman"/>
      <w:i/>
      <w:szCs w:val="20"/>
      <w:lang w:eastAsia="en-US"/>
    </w:rPr>
  </w:style>
  <w:style w:type="paragraph" w:customStyle="1" w:styleId="HeadingBase">
    <w:name w:val="Heading Base"/>
    <w:rsid w:val="00251C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1CBE"/>
    <w:pPr>
      <w:tabs>
        <w:tab w:val="right" w:leader="dot" w:pos="9072"/>
      </w:tabs>
      <w:ind w:left="567"/>
    </w:pPr>
    <w:rPr>
      <w:szCs w:val="22"/>
    </w:rPr>
  </w:style>
  <w:style w:type="paragraph" w:customStyle="1" w:styleId="TOCBase">
    <w:name w:val="TOC Base"/>
    <w:rsid w:val="00251C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1CBE"/>
    <w:pPr>
      <w:tabs>
        <w:tab w:val="right" w:leader="dot" w:pos="9072"/>
      </w:tabs>
      <w:spacing w:before="40" w:after="40"/>
      <w:ind w:left="284"/>
    </w:pPr>
    <w:rPr>
      <w:rFonts w:ascii="Times New Roman" w:hAnsi="Times New Roman"/>
    </w:rPr>
  </w:style>
  <w:style w:type="paragraph" w:styleId="TOC1">
    <w:name w:val="toc 1"/>
    <w:basedOn w:val="TOCBase"/>
    <w:next w:val="Normal"/>
    <w:rsid w:val="00251C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1C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1CBE"/>
    <w:rPr>
      <w:rFonts w:ascii="Times New Roman" w:eastAsia="Times New Roman" w:hAnsi="Times New Roman" w:cs="Times New Roman"/>
      <w:sz w:val="16"/>
      <w:lang w:eastAsia="en-US"/>
    </w:rPr>
  </w:style>
  <w:style w:type="paragraph" w:styleId="Title">
    <w:name w:val="Title"/>
    <w:basedOn w:val="HeadingBase"/>
    <w:link w:val="TitleChar"/>
    <w:qFormat/>
    <w:rsid w:val="00251CBE"/>
    <w:pPr>
      <w:spacing w:before="5040"/>
      <w:jc w:val="center"/>
    </w:pPr>
    <w:rPr>
      <w:sz w:val="48"/>
      <w:szCs w:val="72"/>
      <w:lang w:val="en-US"/>
    </w:rPr>
  </w:style>
  <w:style w:type="character" w:customStyle="1" w:styleId="TitleChar">
    <w:name w:val="Title Char"/>
    <w:basedOn w:val="DefaultParagraphFont"/>
    <w:link w:val="Title"/>
    <w:rsid w:val="00251C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1CBE"/>
    <w:pPr>
      <w:tabs>
        <w:tab w:val="left" w:pos="3600"/>
        <w:tab w:val="left" w:pos="3958"/>
      </w:tabs>
    </w:pPr>
  </w:style>
  <w:style w:type="paragraph" w:styleId="List">
    <w:name w:val="List"/>
    <w:basedOn w:val="BodyText"/>
    <w:next w:val="BodyText"/>
    <w:rsid w:val="00251CBE"/>
    <w:pPr>
      <w:tabs>
        <w:tab w:val="left" w:pos="340"/>
      </w:tabs>
      <w:spacing w:before="60" w:after="60"/>
      <w:ind w:left="340" w:hanging="340"/>
    </w:pPr>
  </w:style>
  <w:style w:type="paragraph" w:customStyle="1" w:styleId="Note">
    <w:name w:val="Note"/>
    <w:basedOn w:val="BodyText"/>
    <w:rsid w:val="00251C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1CBE"/>
    <w:pPr>
      <w:framePr w:wrap="auto" w:hAnchor="text" w:y="6049"/>
    </w:pPr>
    <w:rPr>
      <w:color w:val="000000"/>
      <w:sz w:val="40"/>
    </w:rPr>
  </w:style>
  <w:style w:type="paragraph" w:customStyle="1" w:styleId="TOCTitle">
    <w:name w:val="TOCTitle"/>
    <w:basedOn w:val="Heading1"/>
    <w:rsid w:val="00251CBE"/>
    <w:pPr>
      <w:spacing w:after="240"/>
      <w:jc w:val="center"/>
      <w:outlineLvl w:val="9"/>
    </w:pPr>
    <w:rPr>
      <w:caps/>
    </w:rPr>
  </w:style>
  <w:style w:type="paragraph" w:customStyle="1" w:styleId="Version">
    <w:name w:val="Version"/>
    <w:rsid w:val="00251C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1CBE"/>
    <w:pPr>
      <w:keepNext w:val="0"/>
      <w:tabs>
        <w:tab w:val="right" w:pos="4176"/>
      </w:tabs>
      <w:ind w:left="198" w:hanging="198"/>
    </w:pPr>
    <w:rPr>
      <w:rFonts w:ascii="Garamond" w:hAnsi="Garamond"/>
    </w:rPr>
  </w:style>
  <w:style w:type="paragraph" w:styleId="IndexHeading">
    <w:name w:val="index heading"/>
    <w:basedOn w:val="Normal"/>
    <w:next w:val="Index1"/>
    <w:semiHidden/>
    <w:rsid w:val="00251CBE"/>
    <w:pPr>
      <w:spacing w:before="120" w:after="120"/>
    </w:pPr>
    <w:rPr>
      <w:rFonts w:ascii="Arial" w:hAnsi="Arial"/>
      <w:b/>
      <w:color w:val="918585"/>
      <w:sz w:val="24"/>
    </w:rPr>
  </w:style>
  <w:style w:type="paragraph" w:styleId="Header">
    <w:name w:val="header"/>
    <w:basedOn w:val="Normal"/>
    <w:link w:val="HeaderChar"/>
    <w:rsid w:val="00251C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1CBE"/>
    <w:rPr>
      <w:rFonts w:ascii="Times New Roman" w:eastAsia="Times New Roman" w:hAnsi="Times New Roman" w:cs="Times New Roman"/>
      <w:sz w:val="16"/>
      <w:szCs w:val="20"/>
      <w:lang w:val="en-GB" w:eastAsia="en-US"/>
    </w:rPr>
  </w:style>
  <w:style w:type="paragraph" w:customStyle="1" w:styleId="Chapter">
    <w:name w:val="Chapter"/>
    <w:basedOn w:val="Normal"/>
    <w:rsid w:val="00251CBE"/>
    <w:pPr>
      <w:spacing w:before="240"/>
    </w:pPr>
    <w:rPr>
      <w:rFonts w:ascii="Times New Roman" w:hAnsi="Times New Roman"/>
      <w:smallCaps/>
      <w:spacing w:val="80"/>
      <w:sz w:val="28"/>
    </w:rPr>
  </w:style>
  <w:style w:type="paragraph" w:customStyle="1" w:styleId="InChapter">
    <w:name w:val="InChapter"/>
    <w:basedOn w:val="Heading3"/>
    <w:rsid w:val="00251CBE"/>
    <w:pPr>
      <w:spacing w:after="240"/>
      <w:outlineLvl w:val="9"/>
    </w:pPr>
    <w:rPr>
      <w:noProof/>
    </w:rPr>
  </w:style>
  <w:style w:type="paragraph" w:styleId="Index2">
    <w:name w:val="index 2"/>
    <w:basedOn w:val="Normal"/>
    <w:next w:val="Normal"/>
    <w:semiHidden/>
    <w:rsid w:val="00251CBE"/>
    <w:pPr>
      <w:tabs>
        <w:tab w:val="right" w:pos="4176"/>
      </w:tabs>
      <w:ind w:left="568" w:hanging="284"/>
    </w:pPr>
    <w:rPr>
      <w:rFonts w:ascii="Garamond" w:hAnsi="Garamond"/>
    </w:rPr>
  </w:style>
  <w:style w:type="paragraph" w:customStyle="1" w:styleId="Byline">
    <w:name w:val="Byline"/>
    <w:rsid w:val="00251C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1CBE"/>
    <w:pPr>
      <w:tabs>
        <w:tab w:val="clear" w:pos="3600"/>
        <w:tab w:val="clear" w:pos="3958"/>
      </w:tabs>
      <w:jc w:val="right"/>
    </w:pPr>
  </w:style>
  <w:style w:type="paragraph" w:styleId="Caption">
    <w:name w:val="caption"/>
    <w:basedOn w:val="BodyText"/>
    <w:next w:val="Normal"/>
    <w:qFormat/>
    <w:rsid w:val="00251CBE"/>
    <w:pPr>
      <w:framePr w:w="2268" w:hSpace="181" w:vSpace="181" w:wrap="around" w:vAnchor="text" w:hAnchor="page" w:x="1135" w:y="285" w:anchorLock="1"/>
    </w:pPr>
    <w:rPr>
      <w:i/>
    </w:rPr>
  </w:style>
  <w:style w:type="paragraph" w:customStyle="1" w:styleId="MiniTOCTitle">
    <w:name w:val="MiniTOCTitle"/>
    <w:basedOn w:val="Heading4"/>
    <w:rsid w:val="00251CBE"/>
    <w:pPr>
      <w:spacing w:before="240"/>
      <w:outlineLvl w:val="9"/>
    </w:pPr>
    <w:rPr>
      <w:noProof/>
      <w:sz w:val="24"/>
    </w:rPr>
  </w:style>
  <w:style w:type="paragraph" w:customStyle="1" w:styleId="MiniTOCItem">
    <w:name w:val="MiniTOCItem"/>
    <w:basedOn w:val="ListBullet"/>
    <w:rsid w:val="00251CBE"/>
    <w:pPr>
      <w:numPr>
        <w:numId w:val="0"/>
      </w:numPr>
      <w:tabs>
        <w:tab w:val="right" w:leader="dot" w:pos="6521"/>
      </w:tabs>
      <w:spacing w:before="0" w:after="0"/>
    </w:pPr>
  </w:style>
  <w:style w:type="paragraph" w:customStyle="1" w:styleId="TOFTitle">
    <w:name w:val="TOFTitle"/>
    <w:basedOn w:val="TOCTitle"/>
    <w:rsid w:val="00251CBE"/>
  </w:style>
  <w:style w:type="paragraph" w:styleId="TableofFigures">
    <w:name w:val="table of figures"/>
    <w:basedOn w:val="Normal"/>
    <w:next w:val="Normal"/>
    <w:semiHidden/>
    <w:rsid w:val="00251CBE"/>
    <w:pPr>
      <w:tabs>
        <w:tab w:val="right" w:leader="dot" w:pos="9072"/>
      </w:tabs>
      <w:ind w:left="970" w:hanging="403"/>
    </w:pPr>
    <w:rPr>
      <w:rFonts w:ascii="Times New Roman" w:hAnsi="Times New Roman"/>
      <w:b/>
    </w:rPr>
  </w:style>
  <w:style w:type="paragraph" w:styleId="ListNumber">
    <w:name w:val="List Number"/>
    <w:basedOn w:val="List"/>
    <w:rsid w:val="00251CBE"/>
    <w:pPr>
      <w:numPr>
        <w:numId w:val="15"/>
      </w:numPr>
      <w:tabs>
        <w:tab w:val="clear" w:pos="340"/>
      </w:tabs>
    </w:pPr>
  </w:style>
  <w:style w:type="character" w:customStyle="1" w:styleId="WingdingSymbols">
    <w:name w:val="Wingding Symbols"/>
    <w:rsid w:val="00251CBE"/>
    <w:rPr>
      <w:rFonts w:ascii="Wingdings" w:hAnsi="Wingdings"/>
    </w:rPr>
  </w:style>
  <w:style w:type="paragraph" w:customStyle="1" w:styleId="TableHeading">
    <w:name w:val="Table Heading"/>
    <w:basedOn w:val="HeadingBase"/>
    <w:rsid w:val="00251CBE"/>
    <w:pPr>
      <w:keepLines/>
      <w:pBdr>
        <w:bottom w:val="single" w:sz="6" w:space="1" w:color="918585"/>
      </w:pBdr>
      <w:spacing w:before="240"/>
    </w:pPr>
  </w:style>
  <w:style w:type="character" w:customStyle="1" w:styleId="HotSpot">
    <w:name w:val="HotSpot"/>
    <w:rsid w:val="00251CBE"/>
    <w:rPr>
      <w:color w:val="0033CC"/>
      <w:u w:val="none"/>
    </w:rPr>
  </w:style>
  <w:style w:type="paragraph" w:customStyle="1" w:styleId="BodyTextRight">
    <w:name w:val="Body Text Right"/>
    <w:basedOn w:val="BodyText"/>
    <w:rsid w:val="00251CBE"/>
    <w:pPr>
      <w:spacing w:before="0" w:after="0"/>
      <w:jc w:val="right"/>
    </w:pPr>
  </w:style>
  <w:style w:type="paragraph" w:styleId="Index3">
    <w:name w:val="index 3"/>
    <w:basedOn w:val="ListNumber2"/>
    <w:next w:val="Normal"/>
    <w:semiHidden/>
    <w:rsid w:val="00251CBE"/>
    <w:pPr>
      <w:numPr>
        <w:numId w:val="0"/>
      </w:numPr>
      <w:tabs>
        <w:tab w:val="right" w:leader="dot" w:pos="4176"/>
      </w:tabs>
    </w:pPr>
  </w:style>
  <w:style w:type="paragraph" w:styleId="ListNumber2">
    <w:name w:val="List Number 2"/>
    <w:basedOn w:val="List2"/>
    <w:rsid w:val="00251CBE"/>
    <w:pPr>
      <w:numPr>
        <w:numId w:val="10"/>
      </w:numPr>
      <w:tabs>
        <w:tab w:val="clear" w:pos="1060"/>
      </w:tabs>
    </w:pPr>
  </w:style>
  <w:style w:type="paragraph" w:customStyle="1" w:styleId="MarginNote">
    <w:name w:val="Margin Note"/>
    <w:basedOn w:val="BodyText"/>
    <w:rsid w:val="00251C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1C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1C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1CBE"/>
    <w:rPr>
      <w:sz w:val="32"/>
    </w:rPr>
  </w:style>
  <w:style w:type="paragraph" w:customStyle="1" w:styleId="HeadingProcedure">
    <w:name w:val="Heading Procedure"/>
    <w:basedOn w:val="HeadingBase"/>
    <w:next w:val="Normal"/>
    <w:rsid w:val="00251CBE"/>
    <w:pPr>
      <w:tabs>
        <w:tab w:val="left" w:pos="0"/>
      </w:tabs>
      <w:spacing w:before="120" w:after="60"/>
    </w:pPr>
    <w:rPr>
      <w:i/>
      <w:color w:val="918585"/>
      <w:sz w:val="22"/>
    </w:rPr>
  </w:style>
  <w:style w:type="paragraph" w:customStyle="1" w:styleId="TableBodyText">
    <w:name w:val="Table Body Text"/>
    <w:basedOn w:val="BodyText"/>
    <w:rsid w:val="00251CBE"/>
    <w:pPr>
      <w:spacing w:before="60" w:after="60"/>
    </w:pPr>
  </w:style>
  <w:style w:type="paragraph" w:styleId="ListContinue">
    <w:name w:val="List Continue"/>
    <w:basedOn w:val="List"/>
    <w:rsid w:val="00251CBE"/>
    <w:pPr>
      <w:ind w:firstLine="0"/>
    </w:pPr>
  </w:style>
  <w:style w:type="paragraph" w:customStyle="1" w:styleId="ListNote">
    <w:name w:val="List Note"/>
    <w:basedOn w:val="List"/>
    <w:rsid w:val="00251CBE"/>
    <w:pPr>
      <w:pBdr>
        <w:top w:val="single" w:sz="6" w:space="2" w:color="918585"/>
        <w:bottom w:val="single" w:sz="6" w:space="2" w:color="918585"/>
      </w:pBdr>
      <w:tabs>
        <w:tab w:val="left" w:pos="1021"/>
      </w:tabs>
      <w:ind w:firstLine="0"/>
    </w:pPr>
  </w:style>
  <w:style w:type="paragraph" w:customStyle="1" w:styleId="Warning">
    <w:name w:val="Warning"/>
    <w:basedOn w:val="BodyText"/>
    <w:rsid w:val="00251CBE"/>
    <w:pPr>
      <w:shd w:val="clear" w:color="auto" w:fill="D9D9D9"/>
      <w:tabs>
        <w:tab w:val="left" w:pos="992"/>
      </w:tabs>
      <w:ind w:left="119" w:right="119"/>
    </w:pPr>
    <w:rPr>
      <w:sz w:val="20"/>
    </w:rPr>
  </w:style>
  <w:style w:type="paragraph" w:customStyle="1" w:styleId="MarginIcons">
    <w:name w:val="Margin Icons"/>
    <w:basedOn w:val="BodyText"/>
    <w:rsid w:val="00251C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1CBE"/>
    <w:rPr>
      <w:rFonts w:ascii="Courier New" w:hAnsi="Courier New"/>
    </w:rPr>
  </w:style>
  <w:style w:type="paragraph" w:customStyle="1" w:styleId="NoteBullet">
    <w:name w:val="Note Bullet"/>
    <w:basedOn w:val="Note"/>
    <w:rsid w:val="00251CBE"/>
    <w:pPr>
      <w:tabs>
        <w:tab w:val="clear" w:pos="680"/>
      </w:tabs>
      <w:spacing w:before="60" w:after="60"/>
    </w:pPr>
  </w:style>
  <w:style w:type="paragraph" w:customStyle="1" w:styleId="SubHeading2">
    <w:name w:val="SubHeading2"/>
    <w:basedOn w:val="HeadingBase"/>
    <w:rsid w:val="00251CBE"/>
    <w:pPr>
      <w:spacing w:before="240" w:after="60"/>
    </w:pPr>
    <w:rPr>
      <w:sz w:val="20"/>
    </w:rPr>
  </w:style>
  <w:style w:type="paragraph" w:customStyle="1" w:styleId="SubHeading1">
    <w:name w:val="SubHeading1"/>
    <w:basedOn w:val="HeadingBase"/>
    <w:rsid w:val="00251CBE"/>
    <w:pPr>
      <w:spacing w:before="240" w:after="60"/>
    </w:pPr>
    <w:rPr>
      <w:color w:val="918585"/>
      <w:sz w:val="22"/>
    </w:rPr>
  </w:style>
  <w:style w:type="paragraph" w:customStyle="1" w:styleId="SideHeading">
    <w:name w:val="Side Heading"/>
    <w:basedOn w:val="HeadingBase"/>
    <w:rsid w:val="00251C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1CBE"/>
    <w:pPr>
      <w:tabs>
        <w:tab w:val="num" w:pos="360"/>
      </w:tabs>
    </w:pPr>
  </w:style>
  <w:style w:type="paragraph" w:styleId="PlainText">
    <w:name w:val="Plain Text"/>
    <w:basedOn w:val="Normal"/>
    <w:link w:val="PlainTextChar"/>
    <w:rsid w:val="00251CBE"/>
    <w:rPr>
      <w:sz w:val="20"/>
    </w:rPr>
  </w:style>
  <w:style w:type="character" w:customStyle="1" w:styleId="PlainTextChar">
    <w:name w:val="Plain Text Char"/>
    <w:basedOn w:val="DefaultParagraphFont"/>
    <w:link w:val="PlainText"/>
    <w:rsid w:val="00251CBE"/>
    <w:rPr>
      <w:rFonts w:ascii="Courier New" w:eastAsia="Times New Roman" w:hAnsi="Courier New" w:cs="Times New Roman"/>
      <w:sz w:val="20"/>
      <w:szCs w:val="20"/>
      <w:lang w:eastAsia="en-US"/>
    </w:rPr>
  </w:style>
  <w:style w:type="character" w:customStyle="1" w:styleId="MenuOption">
    <w:name w:val="Menu Option"/>
    <w:basedOn w:val="DefaultParagraphFont"/>
    <w:rsid w:val="00251CBE"/>
    <w:rPr>
      <w:b/>
      <w:smallCaps/>
    </w:rPr>
  </w:style>
  <w:style w:type="paragraph" w:customStyle="1" w:styleId="TableListNumber">
    <w:name w:val="Table List Number"/>
    <w:basedOn w:val="ListNumber"/>
    <w:rsid w:val="00251CBE"/>
    <w:pPr>
      <w:numPr>
        <w:numId w:val="0"/>
      </w:numPr>
    </w:pPr>
  </w:style>
  <w:style w:type="paragraph" w:styleId="TOC4">
    <w:name w:val="toc 4"/>
    <w:basedOn w:val="TOCBase"/>
    <w:next w:val="Normal"/>
    <w:semiHidden/>
    <w:rsid w:val="00251CBE"/>
    <w:pPr>
      <w:tabs>
        <w:tab w:val="right" w:leader="dot" w:pos="9071"/>
      </w:tabs>
      <w:ind w:left="1701"/>
    </w:pPr>
  </w:style>
  <w:style w:type="paragraph" w:customStyle="1" w:styleId="ListAlpha">
    <w:name w:val="List Alpha"/>
    <w:basedOn w:val="List"/>
    <w:rsid w:val="00251CBE"/>
    <w:pPr>
      <w:numPr>
        <w:numId w:val="9"/>
      </w:numPr>
    </w:pPr>
  </w:style>
  <w:style w:type="paragraph" w:customStyle="1" w:styleId="ListAlpha2">
    <w:name w:val="List Alpha 2"/>
    <w:basedOn w:val="List2"/>
    <w:rsid w:val="00251CBE"/>
    <w:pPr>
      <w:numPr>
        <w:numId w:val="8"/>
      </w:numPr>
    </w:pPr>
  </w:style>
  <w:style w:type="paragraph" w:styleId="List2">
    <w:name w:val="List 2"/>
    <w:basedOn w:val="BodyText"/>
    <w:rsid w:val="00251CBE"/>
    <w:pPr>
      <w:tabs>
        <w:tab w:val="left" w:pos="680"/>
      </w:tabs>
      <w:spacing w:before="60" w:after="60"/>
      <w:ind w:left="680" w:hanging="340"/>
    </w:pPr>
  </w:style>
  <w:style w:type="paragraph" w:styleId="List3">
    <w:name w:val="List 3"/>
    <w:basedOn w:val="BodyText"/>
    <w:rsid w:val="00251CBE"/>
    <w:pPr>
      <w:tabs>
        <w:tab w:val="left" w:pos="1021"/>
      </w:tabs>
      <w:spacing w:before="60" w:after="60"/>
      <w:ind w:left="1020" w:hanging="340"/>
    </w:pPr>
  </w:style>
  <w:style w:type="paragraph" w:styleId="List4">
    <w:name w:val="List 4"/>
    <w:basedOn w:val="BodyText"/>
    <w:rsid w:val="00251CBE"/>
    <w:pPr>
      <w:tabs>
        <w:tab w:val="left" w:pos="1361"/>
      </w:tabs>
      <w:spacing w:before="60" w:after="60"/>
      <w:ind w:left="1361" w:hanging="340"/>
    </w:pPr>
  </w:style>
  <w:style w:type="paragraph" w:styleId="List5">
    <w:name w:val="List 5"/>
    <w:basedOn w:val="BodyText"/>
    <w:rsid w:val="00251CBE"/>
    <w:pPr>
      <w:tabs>
        <w:tab w:val="left" w:pos="1701"/>
      </w:tabs>
      <w:spacing w:before="60" w:after="60"/>
      <w:ind w:left="1701" w:hanging="340"/>
    </w:pPr>
  </w:style>
  <w:style w:type="paragraph" w:styleId="ListBullet3">
    <w:name w:val="List Bullet 3"/>
    <w:basedOn w:val="List3"/>
    <w:rsid w:val="00251CBE"/>
    <w:pPr>
      <w:numPr>
        <w:numId w:val="14"/>
      </w:numPr>
      <w:tabs>
        <w:tab w:val="clear" w:pos="1021"/>
      </w:tabs>
      <w:ind w:left="1037" w:hanging="357"/>
    </w:pPr>
  </w:style>
  <w:style w:type="paragraph" w:styleId="ListBullet4">
    <w:name w:val="List Bullet 4"/>
    <w:basedOn w:val="List4"/>
    <w:rsid w:val="00251CBE"/>
    <w:pPr>
      <w:numPr>
        <w:numId w:val="3"/>
      </w:numPr>
      <w:tabs>
        <w:tab w:val="clear" w:pos="1361"/>
      </w:tabs>
    </w:pPr>
  </w:style>
  <w:style w:type="paragraph" w:styleId="ListBullet5">
    <w:name w:val="List Bullet 5"/>
    <w:basedOn w:val="List5"/>
    <w:rsid w:val="00251CBE"/>
    <w:pPr>
      <w:numPr>
        <w:numId w:val="4"/>
      </w:numPr>
    </w:pPr>
  </w:style>
  <w:style w:type="paragraph" w:styleId="ListContinue2">
    <w:name w:val="List Continue 2"/>
    <w:basedOn w:val="List2"/>
    <w:rsid w:val="00251CBE"/>
    <w:pPr>
      <w:ind w:firstLine="0"/>
    </w:pPr>
  </w:style>
  <w:style w:type="paragraph" w:styleId="ListContinue3">
    <w:name w:val="List Continue 3"/>
    <w:basedOn w:val="List3"/>
    <w:rsid w:val="00251CBE"/>
    <w:pPr>
      <w:ind w:left="1021" w:firstLine="0"/>
    </w:pPr>
  </w:style>
  <w:style w:type="paragraph" w:styleId="ListContinue4">
    <w:name w:val="List Continue 4"/>
    <w:basedOn w:val="List4"/>
    <w:rsid w:val="00251CBE"/>
    <w:pPr>
      <w:ind w:firstLine="0"/>
    </w:pPr>
  </w:style>
  <w:style w:type="paragraph" w:styleId="ListContinue5">
    <w:name w:val="List Continue 5"/>
    <w:basedOn w:val="List5"/>
    <w:rsid w:val="00251CBE"/>
    <w:pPr>
      <w:ind w:firstLine="0"/>
    </w:pPr>
  </w:style>
  <w:style w:type="paragraph" w:styleId="ListNumber3">
    <w:name w:val="List Number 3"/>
    <w:basedOn w:val="List3"/>
    <w:rsid w:val="00251CBE"/>
    <w:pPr>
      <w:numPr>
        <w:numId w:val="5"/>
      </w:numPr>
    </w:pPr>
  </w:style>
  <w:style w:type="paragraph" w:styleId="ListNumber4">
    <w:name w:val="List Number 4"/>
    <w:basedOn w:val="List4"/>
    <w:rsid w:val="00251CBE"/>
    <w:pPr>
      <w:numPr>
        <w:numId w:val="6"/>
      </w:numPr>
    </w:pPr>
  </w:style>
  <w:style w:type="paragraph" w:styleId="ListNumber5">
    <w:name w:val="List Number 5"/>
    <w:basedOn w:val="List5"/>
    <w:rsid w:val="00251CBE"/>
    <w:pPr>
      <w:numPr>
        <w:numId w:val="7"/>
      </w:numPr>
    </w:pPr>
  </w:style>
  <w:style w:type="paragraph" w:styleId="BlockText">
    <w:name w:val="Block Text"/>
    <w:basedOn w:val="Normal"/>
    <w:rsid w:val="00251CBE"/>
    <w:pPr>
      <w:spacing w:after="120"/>
      <w:ind w:left="1440" w:right="1440"/>
    </w:pPr>
  </w:style>
  <w:style w:type="character" w:customStyle="1" w:styleId="Subscript">
    <w:name w:val="Subscript"/>
    <w:basedOn w:val="DefaultParagraphFont"/>
    <w:rsid w:val="00251CBE"/>
    <w:rPr>
      <w:sz w:val="16"/>
      <w:vertAlign w:val="subscript"/>
    </w:rPr>
  </w:style>
  <w:style w:type="character" w:customStyle="1" w:styleId="Superscript">
    <w:name w:val="Superscript"/>
    <w:basedOn w:val="DefaultParagraphFont"/>
    <w:rsid w:val="00251CBE"/>
    <w:rPr>
      <w:sz w:val="16"/>
      <w:vertAlign w:val="superscript"/>
    </w:rPr>
  </w:style>
  <w:style w:type="character" w:customStyle="1" w:styleId="Symbols">
    <w:name w:val="Symbols"/>
    <w:basedOn w:val="DefaultParagraphFont"/>
    <w:rsid w:val="00251CBE"/>
    <w:rPr>
      <w:rFonts w:ascii="Symbol" w:hAnsi="Symbol"/>
    </w:rPr>
  </w:style>
  <w:style w:type="character" w:customStyle="1" w:styleId="MenuOptions">
    <w:name w:val="Menu Options"/>
    <w:basedOn w:val="DefaultParagraphFont"/>
    <w:rsid w:val="00251CBE"/>
    <w:rPr>
      <w:rFonts w:ascii="Arial Narrow" w:hAnsi="Arial Narrow"/>
      <w:smallCaps/>
    </w:rPr>
  </w:style>
  <w:style w:type="character" w:customStyle="1" w:styleId="Buttons">
    <w:name w:val="Buttons"/>
    <w:basedOn w:val="DefaultParagraphFont"/>
    <w:rsid w:val="00251CBE"/>
    <w:rPr>
      <w:b/>
    </w:rPr>
  </w:style>
  <w:style w:type="character" w:customStyle="1" w:styleId="Underlined">
    <w:name w:val="Underlined"/>
    <w:basedOn w:val="DefaultParagraphFont"/>
    <w:rsid w:val="00251CBE"/>
    <w:rPr>
      <w:u w:val="single"/>
    </w:rPr>
  </w:style>
  <w:style w:type="paragraph" w:customStyle="1" w:styleId="TableBodyTextRight">
    <w:name w:val="Table Body Text Right"/>
    <w:basedOn w:val="TableBodyText"/>
    <w:rsid w:val="00251CBE"/>
    <w:pPr>
      <w:widowControl w:val="0"/>
      <w:autoSpaceDE w:val="0"/>
      <w:autoSpaceDN w:val="0"/>
      <w:adjustRightInd w:val="0"/>
      <w:jc w:val="right"/>
    </w:pPr>
    <w:rPr>
      <w:rFonts w:cs="Arial"/>
      <w:szCs w:val="18"/>
    </w:rPr>
  </w:style>
  <w:style w:type="paragraph" w:customStyle="1" w:styleId="CopyrightText">
    <w:name w:val="Copyright Text"/>
    <w:basedOn w:val="BodyText"/>
    <w:rsid w:val="00251CBE"/>
    <w:rPr>
      <w:sz w:val="18"/>
    </w:rPr>
  </w:style>
  <w:style w:type="paragraph" w:customStyle="1" w:styleId="BodySmallRight">
    <w:name w:val="Body Small Right"/>
    <w:basedOn w:val="BodyTextRight"/>
    <w:rsid w:val="00251CBE"/>
    <w:rPr>
      <w:sz w:val="18"/>
      <w:szCs w:val="18"/>
    </w:rPr>
  </w:style>
  <w:style w:type="paragraph" w:customStyle="1" w:styleId="MarginEdition">
    <w:name w:val="Margin Edition"/>
    <w:basedOn w:val="MarginNote"/>
    <w:rsid w:val="00251CBE"/>
    <w:pPr>
      <w:spacing w:before="0" w:after="0"/>
    </w:pPr>
    <w:rPr>
      <w:rFonts w:ascii="Times New Roman" w:hAnsi="Times New Roman"/>
      <w:color w:val="999999"/>
    </w:rPr>
  </w:style>
  <w:style w:type="paragraph" w:customStyle="1" w:styleId="Spacer">
    <w:name w:val="Spacer"/>
    <w:basedOn w:val="Normal"/>
    <w:rsid w:val="00251CBE"/>
    <w:rPr>
      <w:sz w:val="2"/>
      <w:szCs w:val="2"/>
    </w:rPr>
  </w:style>
  <w:style w:type="character" w:customStyle="1" w:styleId="Small">
    <w:name w:val="Small"/>
    <w:basedOn w:val="DefaultParagraphFont"/>
    <w:rsid w:val="00251CBE"/>
    <w:rPr>
      <w:sz w:val="16"/>
    </w:rPr>
  </w:style>
  <w:style w:type="paragraph" w:customStyle="1" w:styleId="WideTable">
    <w:name w:val="Wide Table"/>
    <w:basedOn w:val="Normal"/>
    <w:rsid w:val="00251CBE"/>
    <w:pPr>
      <w:ind w:left="-1418"/>
    </w:pPr>
    <w:rPr>
      <w:sz w:val="2"/>
      <w:szCs w:val="2"/>
    </w:rPr>
  </w:style>
  <w:style w:type="character" w:styleId="PageNumber">
    <w:name w:val="page number"/>
    <w:basedOn w:val="DefaultParagraphFont"/>
    <w:rsid w:val="00251CBE"/>
  </w:style>
  <w:style w:type="paragraph" w:styleId="Quote">
    <w:name w:val="Quote"/>
    <w:basedOn w:val="Heading1"/>
    <w:link w:val="QuoteChar"/>
    <w:qFormat/>
    <w:rsid w:val="00251CBE"/>
    <w:rPr>
      <w:b w:val="0"/>
      <w:sz w:val="72"/>
      <w:szCs w:val="72"/>
      <w:lang w:val="en-NZ"/>
    </w:rPr>
  </w:style>
  <w:style w:type="character" w:customStyle="1" w:styleId="QuoteChar">
    <w:name w:val="Quote Char"/>
    <w:basedOn w:val="DefaultParagraphFont"/>
    <w:link w:val="Quote"/>
    <w:rsid w:val="00251C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1CBE"/>
    <w:pPr>
      <w:pageBreakBefore/>
    </w:pPr>
  </w:style>
  <w:style w:type="paragraph" w:customStyle="1" w:styleId="Border">
    <w:name w:val="Border"/>
    <w:basedOn w:val="Normal"/>
    <w:qFormat/>
    <w:rsid w:val="00251C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1CBE"/>
    <w:rPr>
      <w:b/>
      <w:bCs/>
      <w:i/>
      <w:iCs/>
      <w:color w:val="auto"/>
    </w:rPr>
  </w:style>
  <w:style w:type="paragraph" w:styleId="IntenseQuote">
    <w:name w:val="Intense Quote"/>
    <w:basedOn w:val="Normal"/>
    <w:next w:val="Normal"/>
    <w:link w:val="IntenseQuoteChar"/>
    <w:uiPriority w:val="30"/>
    <w:qFormat/>
    <w:rsid w:val="00251C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1C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1CBE"/>
    <w:rPr>
      <w:smallCaps/>
      <w:color w:val="auto"/>
      <w:u w:val="single"/>
    </w:rPr>
  </w:style>
  <w:style w:type="character" w:styleId="IntenseReference">
    <w:name w:val="Intense Reference"/>
    <w:basedOn w:val="DefaultParagraphFont"/>
    <w:uiPriority w:val="32"/>
    <w:qFormat/>
    <w:rsid w:val="00251CBE"/>
    <w:rPr>
      <w:b/>
      <w:bCs/>
      <w:smallCaps/>
      <w:color w:val="auto"/>
      <w:spacing w:val="5"/>
      <w:u w:val="single"/>
    </w:rPr>
  </w:style>
  <w:style w:type="paragraph" w:customStyle="1" w:styleId="2ColumnHeading">
    <w:name w:val="2Column Heading"/>
    <w:basedOn w:val="BodyText"/>
    <w:qFormat/>
    <w:rsid w:val="00251CBE"/>
    <w:pPr>
      <w:spacing w:after="60"/>
      <w:ind w:left="-2268"/>
    </w:pPr>
    <w:rPr>
      <w:b/>
    </w:rPr>
  </w:style>
  <w:style w:type="paragraph" w:customStyle="1" w:styleId="Heading1TOC">
    <w:name w:val="Heading1 TOC"/>
    <w:basedOn w:val="Normal"/>
    <w:qFormat/>
    <w:rsid w:val="00251CBE"/>
    <w:pPr>
      <w:spacing w:before="240" w:after="120"/>
    </w:pPr>
    <w:rPr>
      <w:rFonts w:ascii="Times New Roman" w:hAnsi="Times New Roman"/>
      <w:b/>
      <w:sz w:val="32"/>
    </w:rPr>
  </w:style>
  <w:style w:type="paragraph" w:customStyle="1" w:styleId="Heading2TOC">
    <w:name w:val="Heading2 TOC"/>
    <w:basedOn w:val="Normal"/>
    <w:qFormat/>
    <w:rsid w:val="00251CBE"/>
    <w:pPr>
      <w:spacing w:before="240" w:after="60"/>
    </w:pPr>
    <w:rPr>
      <w:rFonts w:ascii="Times New Roman" w:hAnsi="Times New Roman"/>
      <w:b/>
      <w:sz w:val="28"/>
    </w:rPr>
  </w:style>
  <w:style w:type="character" w:customStyle="1" w:styleId="Underline">
    <w:name w:val="Underline"/>
    <w:basedOn w:val="DefaultParagraphFont"/>
    <w:qFormat/>
    <w:rsid w:val="00251CBE"/>
    <w:rPr>
      <w:u w:val="single"/>
    </w:rPr>
  </w:style>
  <w:style w:type="character" w:customStyle="1" w:styleId="BoldandItalics">
    <w:name w:val="Bold and Italics"/>
    <w:qFormat/>
    <w:rsid w:val="00251CBE"/>
    <w:rPr>
      <w:b/>
      <w:i/>
      <w:u w:val="none"/>
    </w:rPr>
  </w:style>
  <w:style w:type="paragraph" w:styleId="BalloonText">
    <w:name w:val="Balloon Text"/>
    <w:basedOn w:val="Normal"/>
    <w:link w:val="BalloonTextChar"/>
    <w:rsid w:val="00251CBE"/>
    <w:rPr>
      <w:rFonts w:ascii="Tahoma" w:hAnsi="Tahoma" w:cs="Tahoma"/>
      <w:sz w:val="16"/>
      <w:szCs w:val="16"/>
    </w:rPr>
  </w:style>
  <w:style w:type="character" w:customStyle="1" w:styleId="BalloonTextChar">
    <w:name w:val="Balloon Text Char"/>
    <w:basedOn w:val="DefaultParagraphFont"/>
    <w:link w:val="BalloonText"/>
    <w:rsid w:val="00251C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1C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1C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1CBE"/>
    <w:rPr>
      <w:b/>
      <w:color w:val="660033"/>
      <w:spacing w:val="0"/>
    </w:rPr>
  </w:style>
  <w:style w:type="paragraph" w:customStyle="1" w:styleId="Nameditemlist">
    <w:name w:val="Named item list"/>
    <w:basedOn w:val="BodyText"/>
    <w:qFormat/>
    <w:rsid w:val="00251CBE"/>
    <w:pPr>
      <w:tabs>
        <w:tab w:val="left" w:pos="2835"/>
      </w:tabs>
      <w:ind w:left="2835" w:hanging="2835"/>
    </w:pPr>
  </w:style>
  <w:style w:type="paragraph" w:customStyle="1" w:styleId="BodyTextnopadding">
    <w:name w:val="Body Text no padding"/>
    <w:basedOn w:val="BodyText"/>
    <w:qFormat/>
    <w:rsid w:val="00251CBE"/>
    <w:pPr>
      <w:spacing w:before="0" w:after="0"/>
    </w:pPr>
  </w:style>
  <w:style w:type="paragraph" w:customStyle="1" w:styleId="BodyTextBold">
    <w:name w:val="Body Text Bold"/>
    <w:basedOn w:val="BodyText"/>
    <w:qFormat/>
    <w:rsid w:val="00251CBE"/>
    <w:rPr>
      <w:b/>
    </w:rPr>
  </w:style>
  <w:style w:type="character" w:styleId="Hyperlink">
    <w:name w:val="Hyperlink"/>
    <w:basedOn w:val="DefaultParagraphFont"/>
    <w:uiPriority w:val="99"/>
    <w:unhideWhenUsed/>
    <w:rsid w:val="009021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1205</Words>
  <Characters>8249</Characters>
  <Application>Microsoft Office Word</Application>
  <DocSecurity>0</DocSecurity>
  <Lines>222</Lines>
  <Paragraphs>145</Paragraphs>
  <ScaleCrop>false</ScaleCrop>
  <Company>Author-it Software Corporation Ltd.</Company>
  <LinksUpToDate>false</LinksUpToDate>
  <CharactersWithSpaces>9309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MEM15021 Conduct audits of servicing licensees and public weighbridge licensees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2025-03-01T23:51:00Z</dcterms:created>
  <dcterms:modified xsi:type="dcterms:W3CDTF">2025-03-01T23:51:00Z</dcterms:modified>
</cp:coreProperties>
</file>