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839" w:rsidP="000A4839">
      <w:pPr>
        <w:pStyle w:val="Title"/>
      </w:pPr>
      <w:r>
        <w:fldChar w:fldCharType="begin"/>
      </w:r>
      <w:r>
        <w:instrText xml:space="preserve"> TITLE   \* MERGEFORMAT </w:instrText>
      </w:r>
      <w:r>
        <w:fldChar w:fldCharType="separate"/>
      </w:r>
      <w:r>
        <w:t>MEM15020 Perform inspection of measuring instruments</w:t>
      </w:r>
      <w:r>
        <w:fldChar w:fldCharType="end"/>
      </w:r>
    </w:p>
    <w:p w:rsidR="000A4839" w:rsidP="000A4839">
      <w:pPr>
        <w:pStyle w:val="Version"/>
        <w:sectPr w:rsidSect="00FA40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0F6" w:rsidP="00FA40F6">
      <w:pPr>
        <w:pStyle w:val="SuperHeading"/>
      </w:pPr>
      <w:r w:rsidRPr="00FA40F6">
        <w:t>MEM15020 Perform inspection of measuring instruments</w:t>
      </w:r>
    </w:p>
    <w:p w:rsidR="00000000" w:rsidRPr="00FA40F6" w:rsidP="00FA40F6">
      <w:pPr>
        <w:pStyle w:val="Heading1"/>
      </w:pPr>
      <w:bookmarkStart w:id="1" w:name="O_953192"/>
      <w:bookmarkEnd w:id="1"/>
      <w:r w:rsidRPr="00FA40F6">
        <w:t>Modification History</w:t>
      </w:r>
    </w:p>
    <w:p w:rsidR="000A4839" w:rsidP="000A4839">
      <w:pPr>
        <w:pStyle w:val="BodyText"/>
      </w:pPr>
      <w:r w:rsidRPr="00FA40F6">
        <w:t>Release 1. Supersedes and is equivalent to MEM15020C Perform verification/certification or in-service inspection.</w:t>
      </w:r>
    </w:p>
    <w:p w:rsidR="00000000" w:rsidRPr="00FA40F6" w:rsidP="00FA40F6">
      <w:pPr>
        <w:pStyle w:val="Heading1"/>
      </w:pPr>
      <w:bookmarkStart w:id="2" w:name="O_953200"/>
      <w:bookmarkEnd w:id="2"/>
      <w:r w:rsidRPr="00FA40F6">
        <w:t>Application</w:t>
      </w:r>
    </w:p>
    <w:p w:rsidR="00000000" w:rsidRPr="00FA40F6" w:rsidP="000A4839">
      <w:pPr>
        <w:pStyle w:val="BodyText"/>
      </w:pPr>
      <w:r w:rsidRPr="00FA40F6">
        <w:t>This unit of competency defines the skills and knowledge required to test a range o</w:t>
      </w:r>
      <w:r w:rsidRPr="00FA40F6">
        <w:t xml:space="preserve">f measuring instruments used for trading activities and is designed for those performing trade measurement inspection or certification activities in public or private enterprises. It applies to the legal verification/certification or in-service inspection </w:t>
      </w:r>
      <w:r w:rsidRPr="00FA40F6">
        <w:t>of measuring instruments used for trading activities.</w:t>
      </w:r>
    </w:p>
    <w:p w:rsidR="00000000" w:rsidRPr="00FA40F6" w:rsidP="000A4839">
      <w:pPr>
        <w:pStyle w:val="BodyText"/>
      </w:pPr>
      <w:r w:rsidRPr="00FA40F6">
        <w:t>It can be applied to the inspection of trade measuring instruments, including those used for measuring pre-packed articles, and direct and/or indirect trading to the public.</w:t>
      </w:r>
    </w:p>
    <w:p w:rsidR="00000000" w:rsidRPr="00FA40F6" w:rsidP="000A4839">
      <w:pPr>
        <w:pStyle w:val="BodyText"/>
      </w:pPr>
      <w:r w:rsidRPr="00FA40F6">
        <w:t>Where work requires measurin</w:t>
      </w:r>
      <w:r w:rsidRPr="00FA40F6">
        <w:t>g instruments of a lower level of complexity and range and lower scope relating to uniform test procedures and reference materials unit MEM15004 Perform inspection and unit MEM15005 Select and control inspection processes and procedures, should also be sel</w:t>
      </w:r>
      <w:r w:rsidRPr="00FA40F6">
        <w:t>ected as appropriate.</w:t>
      </w:r>
    </w:p>
    <w:p w:rsidR="00000000" w:rsidRPr="00FA40F6" w:rsidP="000A4839">
      <w:pPr>
        <w:pStyle w:val="BodyText"/>
      </w:pPr>
      <w:r w:rsidRPr="00FA40F6">
        <w:t>Where use and maintenance of reference standards is required, unit MEM15017 Use and maintain reference standards should also be selected.</w:t>
      </w:r>
    </w:p>
    <w:p w:rsidR="00000000" w:rsidRPr="00FA40F6" w:rsidP="000A4839">
      <w:pPr>
        <w:pStyle w:val="BodyText"/>
      </w:pPr>
      <w:r w:rsidRPr="00FA40F6">
        <w:t>Where the selection and use of power tools/hand held operations is required, unit MEM18002 Use p</w:t>
      </w:r>
      <w:r w:rsidRPr="00FA40F6">
        <w:t>ower tools/hand held operations should also be selected.</w:t>
      </w:r>
    </w:p>
    <w:p w:rsidR="00000000" w:rsidRPr="00FA40F6" w:rsidP="000A4839">
      <w:pPr>
        <w:pStyle w:val="BodyText"/>
      </w:pPr>
      <w:r w:rsidRPr="00FA40F6">
        <w:t>Some jurisdictions may require the holder of this unit to conform to regulatory and/or legislative requirements and users should check with the relevant authorities.</w:t>
      </w:r>
    </w:p>
    <w:p w:rsidR="00000000" w:rsidRPr="00FA40F6" w:rsidP="000A4839">
      <w:pPr>
        <w:pStyle w:val="Heading3"/>
      </w:pPr>
      <w:r w:rsidRPr="00FA40F6">
        <w:rPr>
          <w:rStyle w:val="SpecialBold"/>
        </w:rPr>
        <w:t>Band: B</w:t>
      </w:r>
    </w:p>
    <w:p w:rsidR="000A4839" w:rsidP="000A4839">
      <w:pPr>
        <w:pStyle w:val="Heading3"/>
      </w:pPr>
      <w:r w:rsidRPr="00FA40F6">
        <w:rPr>
          <w:rStyle w:val="SpecialBold"/>
        </w:rPr>
        <w:t>Unit Weight: 12</w:t>
      </w:r>
    </w:p>
    <w:p w:rsidR="00000000" w:rsidRPr="00FA40F6" w:rsidP="00FA40F6">
      <w:pPr>
        <w:pStyle w:val="Heading1"/>
      </w:pPr>
      <w:bookmarkStart w:id="3" w:name="O_953199"/>
      <w:bookmarkEnd w:id="3"/>
      <w:r w:rsidRPr="00FA40F6">
        <w:t>Pre-requisite Unit</w:t>
      </w:r>
    </w:p>
    <w:p w:rsidR="00000000" w:rsidRPr="00FA40F6" w:rsidP="000A4839">
      <w:pPr>
        <w:pStyle w:val="List"/>
      </w:pPr>
      <w:r w:rsidRPr="00FA40F6">
        <w:t>MEM09002 Interpret technical drawing</w:t>
      </w:r>
    </w:p>
    <w:p w:rsidR="00000000" w:rsidRPr="00FA40F6" w:rsidP="000A4839">
      <w:pPr>
        <w:pStyle w:val="List"/>
      </w:pPr>
      <w:r w:rsidRPr="00FA40F6">
        <w:t>MEM11011 Undertake manual handling</w:t>
      </w:r>
    </w:p>
    <w:p w:rsidR="00000000" w:rsidRPr="00FA40F6" w:rsidP="000A4839">
      <w:pPr>
        <w:pStyle w:val="List"/>
      </w:pPr>
      <w:r w:rsidRPr="00FA40F6">
        <w:t>MEM12023 Perform engineering measurements</w:t>
      </w:r>
    </w:p>
    <w:p w:rsidR="00000000" w:rsidRPr="00FA40F6" w:rsidP="000A4839">
      <w:pPr>
        <w:pStyle w:val="List"/>
      </w:pPr>
      <w:r w:rsidRPr="00FA40F6">
        <w:t>MEM13015 Work safely and effectively in manufacturing and engineering</w:t>
      </w:r>
    </w:p>
    <w:p w:rsidR="00000000" w:rsidRPr="00FA40F6" w:rsidP="000A4839">
      <w:pPr>
        <w:pStyle w:val="List"/>
      </w:pPr>
      <w:r w:rsidRPr="00FA40F6">
        <w:t>MEM16006 Organise and communicate informatio</w:t>
      </w:r>
      <w:r w:rsidRPr="00FA40F6">
        <w:t>n</w:t>
      </w:r>
    </w:p>
    <w:p w:rsidR="000A4839" w:rsidP="000A4839">
      <w:pPr>
        <w:pStyle w:val="List"/>
      </w:pPr>
      <w:r w:rsidRPr="00FA40F6">
        <w:t>MEM18001 Use hand tools</w:t>
      </w:r>
    </w:p>
    <w:p w:rsidR="000A4839" w:rsidP="00FA40F6">
      <w:pPr>
        <w:pStyle w:val="BodyText"/>
      </w:pPr>
    </w:p>
    <w:p w:rsidR="00000000" w:rsidRPr="00FA40F6" w:rsidP="00FA40F6">
      <w:pPr>
        <w:pStyle w:val="Heading1"/>
      </w:pPr>
      <w:bookmarkStart w:id="4" w:name="O_953198"/>
      <w:bookmarkEnd w:id="4"/>
      <w:r w:rsidRPr="00FA40F6">
        <w:t>Competency Field</w:t>
      </w:r>
    </w:p>
    <w:p w:rsidR="000A4839" w:rsidP="000A4839">
      <w:pPr>
        <w:pStyle w:val="BodyText"/>
      </w:pPr>
      <w:r w:rsidRPr="00FA40F6">
        <w:t xml:space="preserve">Quality </w:t>
      </w:r>
    </w:p>
    <w:p w:rsidR="00000000" w:rsidRPr="00FA40F6" w:rsidP="00FA40F6">
      <w:pPr>
        <w:pStyle w:val="Heading1"/>
      </w:pPr>
      <w:bookmarkStart w:id="5" w:name="O_953196"/>
      <w:bookmarkEnd w:id="5"/>
      <w:r w:rsidRPr="00FA40F6">
        <w:t>Elements and Performance Criteria</w:t>
      </w:r>
    </w:p>
    <w:tbl>
      <w:tblPr>
        <w:tblW w:w="9639" w:type="dxa"/>
        <w:tblLayout w:type="fixed"/>
        <w:tblCellMar>
          <w:left w:w="62" w:type="dxa"/>
          <w:right w:w="62" w:type="dxa"/>
        </w:tblCellMar>
        <w:tblLook w:val="0000"/>
      </w:tblPr>
      <w:tblGrid>
        <w:gridCol w:w="2531"/>
        <w:gridCol w:w="7108"/>
      </w:tblGrid>
      <w:tr w:rsidTr="000A483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40F6" w:rsidP="00FA40F6">
            <w:pPr>
              <w:pStyle w:val="BodyText"/>
            </w:pPr>
            <w:r w:rsidRPr="00FA40F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40F6">
            <w:pPr>
              <w:pStyle w:val="BodyText"/>
              <w:rPr>
                <w:lang w:val="en-NZ"/>
              </w:rPr>
            </w:pPr>
            <w:r w:rsidRPr="00FA40F6">
              <w:rPr>
                <w:rStyle w:val="SpecialBold"/>
              </w:rPr>
              <w:t>Performance Criteria</w:t>
            </w:r>
          </w:p>
        </w:tc>
      </w:tr>
      <w:tr w:rsidTr="000A483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40F6" w:rsidP="00FA40F6">
            <w:pPr>
              <w:pStyle w:val="BodyText"/>
            </w:pPr>
            <w:r w:rsidRPr="00FA40F6">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rPr>
                <w:rStyle w:val="Emphasis"/>
              </w:rPr>
              <w:t>Performance criteria describe the performance needed to demonstrate achievement of the element.</w:t>
            </w:r>
          </w:p>
        </w:tc>
      </w:tr>
      <w:tr w:rsidTr="000A48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0F6" w:rsidP="00FA40F6">
            <w:pPr>
              <w:pStyle w:val="BodyText"/>
            </w:pPr>
            <w:r w:rsidRPr="00FA40F6">
              <w:t>1.1 Follow standard operating procedures (SOPs)</w:t>
            </w:r>
          </w:p>
          <w:p w:rsidR="00000000" w:rsidRPr="00FA40F6" w:rsidP="00FA40F6">
            <w:pPr>
              <w:pStyle w:val="BodyText"/>
            </w:pPr>
            <w:r w:rsidRPr="00FA40F6">
              <w:t>1.2 Comply with work health and safety (WHS) requirements at all times</w:t>
            </w:r>
          </w:p>
          <w:p w:rsidR="00000000" w:rsidRPr="00FA40F6" w:rsidP="00FA40F6">
            <w:pPr>
              <w:pStyle w:val="BodyText"/>
            </w:pPr>
            <w:r w:rsidRPr="00FA40F6">
              <w:t>1.3 Determ</w:t>
            </w:r>
            <w:r w:rsidRPr="00FA40F6">
              <w:t>ine type and function of measuring instrument</w:t>
            </w:r>
          </w:p>
          <w:p w:rsidR="00000000" w:rsidRPr="00FA40F6" w:rsidP="00FA40F6">
            <w:pPr>
              <w:pStyle w:val="BodyText"/>
            </w:pPr>
            <w:r w:rsidRPr="00FA40F6">
              <w:t>1.4 Determine if a verification, certification or in-service tolerance is to be applied for inspection of the instrument</w:t>
            </w:r>
          </w:p>
          <w:p w:rsidR="00000000" w:rsidP="00FA40F6">
            <w:pPr>
              <w:pStyle w:val="BodyText"/>
              <w:rPr>
                <w:lang w:val="en-NZ"/>
              </w:rPr>
            </w:pPr>
            <w:r w:rsidRPr="00FA40F6">
              <w:t>1.5 Identify appropriate tolerances for the determined inspection</w:t>
            </w:r>
          </w:p>
        </w:tc>
      </w:tr>
      <w:tr w:rsidTr="000A48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t>2. Perform inspection of measuring instruments to determine compliance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0F6" w:rsidP="00FA40F6">
            <w:pPr>
              <w:pStyle w:val="BodyText"/>
            </w:pPr>
            <w:r w:rsidRPr="00FA40F6">
              <w:t xml:space="preserve">2.1 Determine the impact of the operating environment on the instrument </w:t>
            </w:r>
          </w:p>
          <w:p w:rsidR="00000000" w:rsidRPr="00FA40F6" w:rsidP="00FA40F6">
            <w:pPr>
              <w:pStyle w:val="BodyText"/>
            </w:pPr>
            <w:r w:rsidRPr="00FA40F6">
              <w:t>2.2 Identify sources of any possible operational error in the use of measuring instruments</w:t>
            </w:r>
          </w:p>
          <w:p w:rsidR="00000000" w:rsidRPr="00FA40F6" w:rsidP="00FA40F6">
            <w:pPr>
              <w:pStyle w:val="BodyText"/>
            </w:pPr>
            <w:r w:rsidRPr="00FA40F6">
              <w:t>2.3 Select and use sp</w:t>
            </w:r>
            <w:r w:rsidRPr="00FA40F6">
              <w:t>ecialised equipment for the inspection</w:t>
            </w:r>
          </w:p>
          <w:p w:rsidR="00000000" w:rsidP="00FA40F6">
            <w:pPr>
              <w:pStyle w:val="BodyText"/>
              <w:rPr>
                <w:lang w:val="en-NZ"/>
              </w:rPr>
            </w:pPr>
            <w:r w:rsidRPr="00FA40F6">
              <w:t>2.4 Inspect measuring instruments in accordance with appropriate test procedures, legislation, policies and WHS considerations</w:t>
            </w:r>
          </w:p>
        </w:tc>
      </w:tr>
      <w:tr w:rsidTr="000A48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t>3. Finalise inspection and take appropriate action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0F6" w:rsidP="00FA40F6">
            <w:pPr>
              <w:pStyle w:val="BodyText"/>
            </w:pPr>
            <w:r w:rsidRPr="00FA40F6">
              <w:t>3.1 Determine and implement the approp</w:t>
            </w:r>
            <w:r w:rsidRPr="00FA40F6">
              <w:t>riate action to be undertaken as a result of the inspection</w:t>
            </w:r>
          </w:p>
          <w:p w:rsidR="00000000" w:rsidRPr="00FA40F6" w:rsidP="00FA40F6">
            <w:pPr>
              <w:pStyle w:val="BodyText"/>
            </w:pPr>
            <w:r w:rsidRPr="00FA40F6">
              <w:t>3.2 Monitor, identify and report performance trends of particular models of measuring instruments</w:t>
            </w:r>
          </w:p>
          <w:p w:rsidR="00000000" w:rsidRPr="00FA40F6" w:rsidP="00FA40F6">
            <w:pPr>
              <w:pStyle w:val="BodyText"/>
            </w:pPr>
            <w:r w:rsidRPr="00FA40F6">
              <w:t>3.3 Record the information in the organisation</w:t>
            </w:r>
            <w:r>
              <w:t>’</w:t>
            </w:r>
            <w:r w:rsidRPr="00FA40F6">
              <w:t>s information system</w:t>
            </w:r>
          </w:p>
        </w:tc>
      </w:tr>
    </w:tbl>
    <w:p w:rsidR="000A4839" w:rsidP="00FA40F6">
      <w:pPr>
        <w:pStyle w:val="BodyText"/>
      </w:pPr>
    </w:p>
    <w:p w:rsidR="000A4839" w:rsidP="00FA40F6">
      <w:pPr>
        <w:pStyle w:val="BodyText"/>
      </w:pPr>
    </w:p>
    <w:p w:rsidR="00000000" w:rsidRPr="00FA40F6" w:rsidP="00FA40F6">
      <w:pPr>
        <w:pStyle w:val="Heading1"/>
      </w:pPr>
      <w:bookmarkStart w:id="6" w:name="O_953195"/>
      <w:bookmarkEnd w:id="6"/>
      <w:r w:rsidRPr="00FA40F6">
        <w:t>Foundation</w:t>
      </w:r>
      <w:r w:rsidRPr="00FA40F6">
        <w:t xml:space="preserve"> Skills</w:t>
      </w:r>
    </w:p>
    <w:p w:rsidR="00000000" w:rsidRPr="00FA40F6" w:rsidP="000A4839">
      <w:pPr>
        <w:pStyle w:val="BodyText"/>
      </w:pPr>
      <w:r w:rsidRPr="00FA40F6">
        <w:t>This section describes those language, literacy, numeracy and employment skills that are essential to performance.</w:t>
      </w:r>
    </w:p>
    <w:p w:rsidR="000A4839" w:rsidP="000A4839">
      <w:pPr>
        <w:pStyle w:val="BodyText"/>
      </w:pPr>
      <w:r w:rsidRPr="00FA40F6">
        <w:t>Foundation skills essential to performance are explicit in the performance criteria of this unit of competency.</w:t>
      </w:r>
    </w:p>
    <w:p w:rsidR="00000000" w:rsidRPr="00FA40F6" w:rsidP="00FA40F6">
      <w:pPr>
        <w:pStyle w:val="Heading1"/>
      </w:pPr>
      <w:bookmarkStart w:id="7" w:name="O_953194"/>
      <w:bookmarkEnd w:id="7"/>
      <w:r w:rsidRPr="00FA40F6">
        <w:t>Ran</w:t>
      </w:r>
      <w:r w:rsidRPr="00FA40F6">
        <w:t>ge of Conditions</w:t>
      </w:r>
    </w:p>
    <w:tbl>
      <w:tblPr>
        <w:tblW w:w="9638" w:type="dxa"/>
        <w:tblLayout w:type="fixed"/>
        <w:tblCellMar>
          <w:left w:w="62" w:type="dxa"/>
          <w:right w:w="62" w:type="dxa"/>
        </w:tblCellMar>
        <w:tblLook w:val="0000"/>
      </w:tblPr>
      <w:tblGrid>
        <w:gridCol w:w="2758"/>
        <w:gridCol w:w="6880"/>
      </w:tblGrid>
      <w:tr w:rsidTr="00FA40F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t>This field allows for different work environments and conditions that may affect performance. Essential operating conditions that may be present (depending on the work situation, needs of the candidate, accessibility of the item, and local</w:t>
            </w:r>
            <w:r w:rsidRPr="00FA40F6">
              <w:t xml:space="preserve"> industry and regional contexts) are included.</w:t>
            </w:r>
          </w:p>
        </w:tc>
      </w:tr>
      <w:tr w:rsidTr="00FA40F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t>Measuring instruments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0F6" w:rsidP="00FA40F6">
            <w:pPr>
              <w:pStyle w:val="ListBullet"/>
            </w:pPr>
            <w:r w:rsidRPr="00FA40F6">
              <w:t>length of measures and measuring instruments</w:t>
            </w:r>
          </w:p>
          <w:p w:rsidR="00000000" w:rsidRPr="00FA40F6" w:rsidP="00FA40F6">
            <w:pPr>
              <w:pStyle w:val="ListBullet"/>
            </w:pPr>
            <w:r w:rsidRPr="00FA40F6">
              <w:t>area measuring instruments</w:t>
            </w:r>
          </w:p>
          <w:p w:rsidR="00000000" w:rsidRPr="00FA40F6" w:rsidP="00FA40F6">
            <w:pPr>
              <w:pStyle w:val="ListBullet"/>
            </w:pPr>
            <w:r w:rsidRPr="00FA40F6">
              <w:t>measures of volume</w:t>
            </w:r>
          </w:p>
          <w:p w:rsidR="00000000" w:rsidRPr="00FA40F6" w:rsidP="00FA40F6">
            <w:pPr>
              <w:pStyle w:val="ListBullet"/>
            </w:pPr>
            <w:r w:rsidRPr="00FA40F6">
              <w:t>liquor measuring instruments</w:t>
            </w:r>
          </w:p>
          <w:p w:rsidR="00000000" w:rsidRPr="00FA40F6" w:rsidP="00FA40F6">
            <w:pPr>
              <w:pStyle w:val="ListBullet"/>
            </w:pPr>
            <w:r w:rsidRPr="00FA40F6">
              <w:t>liquid measuring instruments</w:t>
            </w:r>
          </w:p>
          <w:p w:rsidR="00000000" w:rsidRPr="00FA40F6" w:rsidP="00FA40F6">
            <w:pPr>
              <w:pStyle w:val="ListBullet"/>
            </w:pPr>
            <w:r w:rsidRPr="00FA40F6">
              <w:t>weighing instruments</w:t>
            </w:r>
          </w:p>
          <w:p w:rsidR="00000000" w:rsidRPr="00FA40F6" w:rsidP="00FA40F6">
            <w:pPr>
              <w:pStyle w:val="ListBullet"/>
            </w:pPr>
            <w:r w:rsidRPr="00FA40F6">
              <w:t>milk tanks</w:t>
            </w:r>
          </w:p>
          <w:p w:rsidR="00000000" w:rsidRPr="00FA40F6" w:rsidP="00FA40F6">
            <w:pPr>
              <w:pStyle w:val="ListBullet"/>
            </w:pPr>
            <w:r w:rsidRPr="00FA40F6">
              <w:t>vehicle tanks</w:t>
            </w:r>
          </w:p>
          <w:p w:rsidR="00000000" w:rsidRPr="00FA40F6" w:rsidP="00FA40F6">
            <w:pPr>
              <w:pStyle w:val="ListBullet"/>
            </w:pPr>
            <w:r w:rsidRPr="00FA40F6">
              <w:t>liquefied gas flow meters</w:t>
            </w:r>
          </w:p>
          <w:p w:rsidR="00000000" w:rsidRPr="00FA40F6" w:rsidP="00FA40F6">
            <w:pPr>
              <w:pStyle w:val="ListBullet"/>
            </w:pPr>
            <w:r w:rsidRPr="00FA40F6">
              <w:t>electronic metering systems</w:t>
            </w:r>
          </w:p>
          <w:p w:rsidR="00000000" w:rsidRPr="00FA40F6" w:rsidP="00FA40F6">
            <w:pPr>
              <w:pStyle w:val="ListBullet"/>
            </w:pPr>
            <w:r w:rsidRPr="00FA40F6">
              <w:t>natural gas flow meters</w:t>
            </w:r>
          </w:p>
          <w:p w:rsidR="00000000" w:rsidRPr="00FA40F6" w:rsidP="00FA40F6">
            <w:pPr>
              <w:pStyle w:val="ListBullet"/>
            </w:pPr>
            <w:r w:rsidRPr="00FA40F6">
              <w:t>dimensional measuring instruments</w:t>
            </w:r>
          </w:p>
          <w:p w:rsidR="00000000" w:rsidRPr="00FA40F6" w:rsidP="00FA40F6">
            <w:pPr>
              <w:pStyle w:val="ListBullet"/>
            </w:pPr>
            <w:r w:rsidRPr="00FA40F6">
              <w:t>supplementary measuring instrument</w:t>
            </w:r>
          </w:p>
          <w:p w:rsidR="00000000" w:rsidP="00FA40F6">
            <w:pPr>
              <w:pStyle w:val="ListBullet"/>
              <w:rPr>
                <w:lang w:val="en-NZ"/>
              </w:rPr>
            </w:pPr>
            <w:r w:rsidRPr="00FA40F6">
              <w:t>auxiliary devices.</w:t>
            </w:r>
          </w:p>
        </w:tc>
      </w:tr>
      <w:tr w:rsidTr="00FA40F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t>Monitoring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0F6" w:rsidP="00FA40F6">
            <w:pPr>
              <w:pStyle w:val="ListBullet"/>
            </w:pPr>
            <w:r w:rsidRPr="00FA40F6">
              <w:t>specific test equipment</w:t>
            </w:r>
          </w:p>
          <w:p w:rsidR="00000000" w:rsidRPr="00FA40F6" w:rsidP="00FA40F6">
            <w:pPr>
              <w:pStyle w:val="ListBullet"/>
            </w:pPr>
            <w:r w:rsidRPr="00FA40F6">
              <w:t>random inspections</w:t>
            </w:r>
          </w:p>
          <w:p w:rsidR="00000000" w:rsidRPr="00FA40F6" w:rsidP="00FA40F6">
            <w:pPr>
              <w:pStyle w:val="ListBullet"/>
            </w:pPr>
            <w:r w:rsidRPr="00FA40F6">
              <w:t>surveillance</w:t>
            </w:r>
          </w:p>
          <w:p w:rsidR="00000000" w:rsidRPr="00FA40F6" w:rsidP="00FA40F6">
            <w:pPr>
              <w:pStyle w:val="ListBullet"/>
            </w:pPr>
            <w:r w:rsidRPr="00FA40F6">
              <w:t>complaint inspection</w:t>
            </w:r>
          </w:p>
          <w:p w:rsidR="00000000" w:rsidRPr="00FA40F6" w:rsidP="00FA40F6">
            <w:pPr>
              <w:pStyle w:val="ListBullet"/>
            </w:pPr>
            <w:r w:rsidRPr="00FA40F6">
              <w:t>comparison/analysis of data over time</w:t>
            </w:r>
          </w:p>
          <w:p w:rsidR="00000000" w:rsidRPr="00FA40F6" w:rsidP="00FA40F6">
            <w:pPr>
              <w:pStyle w:val="ListBullet"/>
            </w:pPr>
            <w:r w:rsidRPr="00FA40F6">
              <w:t>collation of statistical information</w:t>
            </w:r>
          </w:p>
          <w:p w:rsidR="00000000" w:rsidP="00FA40F6">
            <w:pPr>
              <w:pStyle w:val="ListBullet"/>
              <w:rPr>
                <w:lang w:val="en-NZ"/>
              </w:rPr>
            </w:pPr>
            <w:r w:rsidRPr="00FA40F6">
              <w:t>auditing of servicing licensees.</w:t>
            </w:r>
          </w:p>
        </w:tc>
      </w:tr>
      <w:tr w:rsidTr="00FA40F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t>Specialised equipme</w:t>
            </w:r>
            <w:r w:rsidRPr="00FA40F6">
              <w:t>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0F6" w:rsidP="00FA40F6">
            <w:pPr>
              <w:pStyle w:val="ListBullet"/>
            </w:pPr>
            <w:r w:rsidRPr="00FA40F6">
              <w:t>reference standards</w:t>
            </w:r>
          </w:p>
          <w:p w:rsidR="00000000" w:rsidRPr="00FA40F6" w:rsidP="00FA40F6">
            <w:pPr>
              <w:pStyle w:val="ListBullet"/>
            </w:pPr>
            <w:r w:rsidRPr="00FA40F6">
              <w:t>safety equipment</w:t>
            </w:r>
          </w:p>
          <w:p w:rsidR="00000000" w:rsidRPr="00FA40F6" w:rsidP="00FA40F6">
            <w:pPr>
              <w:pStyle w:val="ListBullet"/>
            </w:pPr>
            <w:r w:rsidRPr="00FA40F6">
              <w:t>product handling equipment</w:t>
            </w:r>
          </w:p>
          <w:p w:rsidR="00000000" w:rsidRPr="00FA40F6" w:rsidP="00FA40F6">
            <w:pPr>
              <w:pStyle w:val="ListBullet"/>
            </w:pPr>
            <w:r w:rsidRPr="00FA40F6">
              <w:t>test equipment</w:t>
            </w:r>
          </w:p>
          <w:p w:rsidR="00000000" w:rsidP="00FA40F6">
            <w:pPr>
              <w:pStyle w:val="ListBullet"/>
              <w:rPr>
                <w:lang w:val="en-NZ"/>
              </w:rPr>
            </w:pPr>
            <w:r w:rsidRPr="00FA40F6">
              <w:t>specialised test equipment vehicles.</w:t>
            </w:r>
          </w:p>
        </w:tc>
      </w:tr>
      <w:tr w:rsidTr="00FA40F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t>Legislation and policies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0F6" w:rsidP="00FA40F6">
            <w:pPr>
              <w:pStyle w:val="ListBullet"/>
            </w:pPr>
            <w:r w:rsidRPr="00FA40F6">
              <w:t>enabling legislation</w:t>
            </w:r>
          </w:p>
          <w:p w:rsidR="00000000" w:rsidRPr="00FA40F6" w:rsidP="00FA40F6">
            <w:pPr>
              <w:pStyle w:val="ListBullet"/>
            </w:pPr>
            <w:r w:rsidRPr="00FA40F6">
              <w:t>organisational policies and procedures</w:t>
            </w:r>
          </w:p>
          <w:p w:rsidR="00000000" w:rsidRPr="00FA40F6" w:rsidP="00FA40F6">
            <w:pPr>
              <w:pStyle w:val="ListBullet"/>
            </w:pPr>
            <w:r w:rsidRPr="00FA40F6">
              <w:t>WHS</w:t>
            </w:r>
          </w:p>
          <w:p w:rsidR="00000000" w:rsidRPr="00FA40F6" w:rsidP="00FA40F6">
            <w:pPr>
              <w:pStyle w:val="ListBullet"/>
            </w:pPr>
            <w:r w:rsidRPr="00FA40F6">
              <w:t>environmental legislation</w:t>
            </w:r>
          </w:p>
          <w:p w:rsidR="00000000" w:rsidRPr="00FA40F6" w:rsidP="00FA40F6">
            <w:pPr>
              <w:pStyle w:val="ListBullet"/>
            </w:pPr>
            <w:r w:rsidRPr="00FA40F6">
              <w:t>enforcement policies</w:t>
            </w:r>
          </w:p>
          <w:p w:rsidR="00000000" w:rsidP="00FA40F6">
            <w:pPr>
              <w:pStyle w:val="ListBullet"/>
              <w:rPr>
                <w:lang w:val="en-NZ"/>
              </w:rPr>
            </w:pPr>
            <w:r w:rsidRPr="00FA40F6">
              <w:t>conditions of licence.</w:t>
            </w:r>
          </w:p>
        </w:tc>
      </w:tr>
      <w:tr w:rsidTr="00FA40F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t>WHS considerations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0F6" w:rsidP="00FA40F6">
            <w:pPr>
              <w:pStyle w:val="ListBullet"/>
            </w:pPr>
            <w:r w:rsidRPr="00FA40F6">
              <w:t>storage and transportation of test equipment</w:t>
            </w:r>
          </w:p>
          <w:p w:rsidR="00000000" w:rsidRPr="00FA40F6" w:rsidP="00FA40F6">
            <w:pPr>
              <w:pStyle w:val="ListBullet"/>
            </w:pPr>
            <w:r w:rsidRPr="00FA40F6">
              <w:t>site/premises conditions</w:t>
            </w:r>
          </w:p>
          <w:p w:rsidR="00000000" w:rsidRPr="00FA40F6" w:rsidP="00FA40F6">
            <w:pPr>
              <w:pStyle w:val="ListBullet"/>
            </w:pPr>
            <w:r w:rsidRPr="00FA40F6">
              <w:t>specific safet</w:t>
            </w:r>
            <w:r w:rsidRPr="00FA40F6">
              <w:t>y equipment and clothing</w:t>
            </w:r>
          </w:p>
          <w:p w:rsidR="00000000" w:rsidP="00FA40F6">
            <w:pPr>
              <w:pStyle w:val="ListBullet"/>
              <w:rPr>
                <w:lang w:val="en-NZ"/>
              </w:rPr>
            </w:pPr>
            <w:r w:rsidRPr="00FA40F6">
              <w:t>manual handling techniques.</w:t>
            </w:r>
          </w:p>
        </w:tc>
      </w:tr>
      <w:tr w:rsidTr="00FA40F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0F6">
            <w:pPr>
              <w:pStyle w:val="BodyText"/>
              <w:rPr>
                <w:lang w:val="en-NZ"/>
              </w:rPr>
            </w:pPr>
            <w:r w:rsidRPr="00FA40F6">
              <w:t>Recording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0F6" w:rsidP="00FA40F6">
            <w:pPr>
              <w:pStyle w:val="ListBullet"/>
            </w:pPr>
            <w:r w:rsidRPr="00FA40F6">
              <w:t>non-compliance notices</w:t>
            </w:r>
          </w:p>
          <w:p w:rsidR="00000000" w:rsidRPr="00FA40F6" w:rsidP="00FA40F6">
            <w:pPr>
              <w:pStyle w:val="ListBullet"/>
            </w:pPr>
            <w:r w:rsidRPr="00FA40F6">
              <w:t>reflect/incorrect notices</w:t>
            </w:r>
          </w:p>
          <w:p w:rsidR="00000000" w:rsidRPr="00FA40F6" w:rsidP="00FA40F6">
            <w:pPr>
              <w:pStyle w:val="ListBullet"/>
            </w:pPr>
            <w:r w:rsidRPr="00FA40F6">
              <w:t>fees</w:t>
            </w:r>
          </w:p>
          <w:p w:rsidR="00000000" w:rsidRPr="00FA40F6" w:rsidP="00FA40F6">
            <w:pPr>
              <w:pStyle w:val="ListBullet"/>
            </w:pPr>
            <w:r w:rsidRPr="00FA40F6">
              <w:t>organisational reporting forms.</w:t>
            </w:r>
          </w:p>
        </w:tc>
      </w:tr>
    </w:tbl>
    <w:p w:rsidR="000A4839" w:rsidP="00FA40F6">
      <w:pPr>
        <w:pStyle w:val="BodyText"/>
      </w:pPr>
    </w:p>
    <w:p w:rsidR="000A4839" w:rsidP="00FA40F6">
      <w:pPr>
        <w:pStyle w:val="BodyText"/>
      </w:pPr>
    </w:p>
    <w:p w:rsidR="00000000" w:rsidRPr="00FA40F6" w:rsidP="00FA40F6">
      <w:pPr>
        <w:pStyle w:val="Heading1"/>
      </w:pPr>
      <w:bookmarkStart w:id="8" w:name="O_953193"/>
      <w:bookmarkEnd w:id="8"/>
      <w:r w:rsidRPr="00FA40F6">
        <w:t>Unit Mapping Information</w:t>
      </w:r>
    </w:p>
    <w:p w:rsidR="000A4839" w:rsidP="000A4839">
      <w:pPr>
        <w:pStyle w:val="BodyText"/>
      </w:pPr>
      <w:r w:rsidRPr="00FA40F6">
        <w:t>Release 1. Supersedes and is equivalent to MEM15020C Perform verification/certification or in-service inspection.</w:t>
      </w:r>
    </w:p>
    <w:p w:rsidR="00000000" w:rsidRPr="00FA40F6" w:rsidP="00FA40F6">
      <w:pPr>
        <w:pStyle w:val="Heading1"/>
      </w:pPr>
      <w:bookmarkStart w:id="9" w:name="O_953186"/>
      <w:bookmarkEnd w:id="9"/>
      <w:r w:rsidRPr="00FA40F6">
        <w:t>Links</w:t>
      </w:r>
    </w:p>
    <w:p w:rsidR="00000000" w:rsidRPr="00FA40F6" w:rsidP="000A4839">
      <w:pPr>
        <w:pStyle w:val="BodyText"/>
      </w:pPr>
      <w:r w:rsidRPr="00FA40F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1597C">
        <w:rPr>
          <w:rStyle w:val="Hyperlink"/>
        </w:rPr>
        <w:t>https://vetnet.gov.au/Pages/TrainingDocs.aspx?q=b7050d37-5fd0-4740-8f7d-3b7a49c10bb2</w:t>
      </w:r>
      <w:r>
        <w:fldChar w:fldCharType="end"/>
      </w:r>
    </w:p>
    <w:p w:rsidR="00000000" w:rsidRPr="00FA40F6" w:rsidP="00FA40F6"/>
    <w:sectPr w:rsidSect="00FA40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0F6" w:rsidRPr="000A4839" w:rsidP="000A4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839" w:rsidP="00FA4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4839" w:rsidP="00FA40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4839" w:rsidP="00FA40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8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40F6" w:rsidRPr="000A4839" w:rsidP="000A48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839" w:rsidRPr="002D2AF8" w:rsidP="00FA40F6">
    <w:pPr>
      <w:pStyle w:val="Header"/>
      <w:framePr w:wrap="around"/>
    </w:pPr>
    <w:r>
      <w:fldChar w:fldCharType="begin"/>
    </w:r>
    <w:r>
      <w:instrText xml:space="preserve"> TITLE   \* MERGEFORMAT </w:instrText>
    </w:r>
    <w:r>
      <w:fldChar w:fldCharType="separate"/>
    </w:r>
    <w:r>
      <w:t>MEM15020 Perform inspection of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A4839" w:rsidP="00FA4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48B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08F2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0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0F6"/>
    <w:pPr>
      <w:spacing w:before="360" w:after="60"/>
      <w:outlineLvl w:val="0"/>
    </w:pPr>
    <w:rPr>
      <w:sz w:val="32"/>
    </w:rPr>
  </w:style>
  <w:style w:type="paragraph" w:styleId="Heading2">
    <w:name w:val="heading 2"/>
    <w:basedOn w:val="HeadingBase"/>
    <w:next w:val="BodyText"/>
    <w:link w:val="Heading2Char"/>
    <w:qFormat/>
    <w:rsid w:val="00FA40F6"/>
    <w:pPr>
      <w:keepLines/>
      <w:spacing w:before="240" w:after="120"/>
      <w:outlineLvl w:val="1"/>
    </w:pPr>
    <w:rPr>
      <w:sz w:val="28"/>
      <w:szCs w:val="40"/>
    </w:rPr>
  </w:style>
  <w:style w:type="paragraph" w:styleId="Heading3">
    <w:name w:val="heading 3"/>
    <w:basedOn w:val="HeadingBase"/>
    <w:next w:val="BodyText"/>
    <w:link w:val="Heading3Char"/>
    <w:qFormat/>
    <w:rsid w:val="00FA40F6"/>
    <w:pPr>
      <w:spacing w:before="180" w:after="120"/>
      <w:outlineLvl w:val="2"/>
    </w:pPr>
    <w:rPr>
      <w:spacing w:val="-10"/>
      <w:kern w:val="32"/>
    </w:rPr>
  </w:style>
  <w:style w:type="paragraph" w:styleId="Heading4">
    <w:name w:val="heading 4"/>
    <w:basedOn w:val="HeadingBase"/>
    <w:next w:val="BodyText"/>
    <w:link w:val="Heading4Char"/>
    <w:qFormat/>
    <w:rsid w:val="00FA40F6"/>
    <w:pPr>
      <w:spacing w:before="160" w:after="120"/>
      <w:outlineLvl w:val="3"/>
    </w:pPr>
    <w:rPr>
      <w:sz w:val="22"/>
    </w:rPr>
  </w:style>
  <w:style w:type="paragraph" w:styleId="Heading5">
    <w:name w:val="heading 5"/>
    <w:basedOn w:val="HeadingBase"/>
    <w:next w:val="Normal"/>
    <w:link w:val="Heading5Char"/>
    <w:qFormat/>
    <w:rsid w:val="00FA40F6"/>
    <w:pPr>
      <w:spacing w:before="80"/>
      <w:outlineLvl w:val="4"/>
    </w:pPr>
    <w:rPr>
      <w:color w:val="918585"/>
      <w:sz w:val="20"/>
    </w:rPr>
  </w:style>
  <w:style w:type="paragraph" w:styleId="Heading6">
    <w:name w:val="heading 6"/>
    <w:basedOn w:val="HeadingBase"/>
    <w:next w:val="Normal"/>
    <w:link w:val="Heading6Char"/>
    <w:qFormat/>
    <w:rsid w:val="00FA40F6"/>
    <w:pPr>
      <w:spacing w:before="60"/>
      <w:outlineLvl w:val="5"/>
    </w:pPr>
    <w:rPr>
      <w:color w:val="918585"/>
      <w:sz w:val="20"/>
    </w:rPr>
  </w:style>
  <w:style w:type="paragraph" w:styleId="Heading7">
    <w:name w:val="heading 7"/>
    <w:basedOn w:val="Normal"/>
    <w:next w:val="Normal"/>
    <w:link w:val="Heading7Char"/>
    <w:qFormat/>
    <w:rsid w:val="00FA40F6"/>
    <w:pPr>
      <w:ind w:left="720"/>
      <w:outlineLvl w:val="6"/>
    </w:pPr>
    <w:rPr>
      <w:i/>
    </w:rPr>
  </w:style>
  <w:style w:type="paragraph" w:styleId="Heading8">
    <w:name w:val="heading 8"/>
    <w:basedOn w:val="Normal"/>
    <w:next w:val="Normal"/>
    <w:link w:val="Heading8Char"/>
    <w:qFormat/>
    <w:rsid w:val="00FA40F6"/>
    <w:pPr>
      <w:ind w:left="720"/>
      <w:outlineLvl w:val="7"/>
    </w:pPr>
    <w:rPr>
      <w:i/>
    </w:rPr>
  </w:style>
  <w:style w:type="paragraph" w:styleId="Heading9">
    <w:name w:val="heading 9"/>
    <w:basedOn w:val="Normal"/>
    <w:next w:val="Normal"/>
    <w:link w:val="Heading9Char"/>
    <w:qFormat/>
    <w:rsid w:val="00FA40F6"/>
    <w:pPr>
      <w:ind w:left="720"/>
      <w:outlineLvl w:val="8"/>
    </w:pPr>
    <w:rPr>
      <w:i/>
    </w:rPr>
  </w:style>
  <w:style w:type="character" w:default="1" w:styleId="DefaultParagraphFont">
    <w:name w:val="Default Paragraph Font"/>
    <w:uiPriority w:val="1"/>
    <w:unhideWhenUsed/>
    <w:rsid w:val="00FA4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0F6"/>
  </w:style>
  <w:style w:type="character" w:customStyle="1" w:styleId="Heading1Char">
    <w:name w:val="Heading 1 Char"/>
    <w:basedOn w:val="DefaultParagraphFont"/>
    <w:link w:val="Heading1"/>
    <w:rsid w:val="00FA40F6"/>
    <w:rPr>
      <w:rFonts w:ascii="Times New Roman" w:eastAsia="Times New Roman" w:hAnsi="Times New Roman" w:cs="Times New Roman"/>
      <w:b/>
      <w:sz w:val="32"/>
      <w:szCs w:val="20"/>
      <w:lang w:eastAsia="en-US"/>
    </w:rPr>
  </w:style>
  <w:style w:type="paragraph" w:styleId="BodyText">
    <w:name w:val="Body Text"/>
    <w:basedOn w:val="Normal"/>
    <w:link w:val="BodyTextChar"/>
    <w:rsid w:val="00FA40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40F6"/>
    <w:rPr>
      <w:rFonts w:ascii="Times New Roman" w:eastAsia="Times New Roman" w:hAnsi="Times New Roman" w:cs="Times New Roman"/>
      <w:sz w:val="24"/>
      <w:lang w:eastAsia="en-US"/>
    </w:rPr>
  </w:style>
  <w:style w:type="paragraph" w:styleId="ListBullet">
    <w:name w:val="List Bullet"/>
    <w:basedOn w:val="List"/>
    <w:rsid w:val="00FA40F6"/>
    <w:pPr>
      <w:numPr>
        <w:numId w:val="11"/>
      </w:numPr>
      <w:tabs>
        <w:tab w:val="clear" w:pos="340"/>
      </w:tabs>
      <w:spacing w:before="40" w:after="40"/>
    </w:pPr>
  </w:style>
  <w:style w:type="character" w:customStyle="1" w:styleId="SpecialBold">
    <w:name w:val="Special Bold"/>
    <w:basedOn w:val="DefaultParagraphFont"/>
    <w:rsid w:val="00FA40F6"/>
    <w:rPr>
      <w:b/>
      <w:spacing w:val="0"/>
    </w:rPr>
  </w:style>
  <w:style w:type="character" w:styleId="Emphasis">
    <w:name w:val="Emphasis"/>
    <w:basedOn w:val="DefaultParagraphFont"/>
    <w:qFormat/>
    <w:rsid w:val="00FA40F6"/>
    <w:rPr>
      <w:i/>
    </w:rPr>
  </w:style>
  <w:style w:type="paragraph" w:customStyle="1" w:styleId="SuperHeading">
    <w:name w:val="SuperHeading"/>
    <w:basedOn w:val="Normal"/>
    <w:rsid w:val="00FA40F6"/>
    <w:pPr>
      <w:spacing w:before="240" w:after="120"/>
      <w:outlineLvl w:val="0"/>
    </w:pPr>
    <w:rPr>
      <w:rFonts w:ascii="Times New Roman" w:hAnsi="Times New Roman"/>
      <w:b/>
      <w:sz w:val="32"/>
    </w:rPr>
  </w:style>
  <w:style w:type="paragraph" w:customStyle="1" w:styleId="AllowPageBreak">
    <w:name w:val="AllowPageBreak"/>
    <w:rsid w:val="00FA4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0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0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0F6"/>
    <w:rPr>
      <w:rFonts w:ascii="Courier New" w:eastAsia="Times New Roman" w:hAnsi="Courier New" w:cs="Times New Roman"/>
      <w:i/>
      <w:szCs w:val="20"/>
      <w:lang w:eastAsia="en-US"/>
    </w:rPr>
  </w:style>
  <w:style w:type="paragraph" w:customStyle="1" w:styleId="HeadingBase">
    <w:name w:val="Heading Base"/>
    <w:rsid w:val="00FA4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0F6"/>
    <w:pPr>
      <w:tabs>
        <w:tab w:val="right" w:leader="dot" w:pos="9072"/>
      </w:tabs>
      <w:ind w:left="567"/>
    </w:pPr>
    <w:rPr>
      <w:szCs w:val="22"/>
    </w:rPr>
  </w:style>
  <w:style w:type="paragraph" w:customStyle="1" w:styleId="TOCBase">
    <w:name w:val="TOC Base"/>
    <w:rsid w:val="00FA4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0F6"/>
    <w:pPr>
      <w:tabs>
        <w:tab w:val="right" w:leader="dot" w:pos="9072"/>
      </w:tabs>
      <w:spacing w:before="40" w:after="40"/>
      <w:ind w:left="284"/>
    </w:pPr>
    <w:rPr>
      <w:rFonts w:ascii="Times New Roman" w:hAnsi="Times New Roman"/>
    </w:rPr>
  </w:style>
  <w:style w:type="paragraph" w:styleId="TOC1">
    <w:name w:val="toc 1"/>
    <w:basedOn w:val="TOCBase"/>
    <w:next w:val="Normal"/>
    <w:rsid w:val="00FA40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0F6"/>
    <w:rPr>
      <w:rFonts w:ascii="Times New Roman" w:eastAsia="Times New Roman" w:hAnsi="Times New Roman" w:cs="Times New Roman"/>
      <w:sz w:val="16"/>
      <w:lang w:eastAsia="en-US"/>
    </w:rPr>
  </w:style>
  <w:style w:type="paragraph" w:styleId="Title">
    <w:name w:val="Title"/>
    <w:basedOn w:val="HeadingBase"/>
    <w:link w:val="TitleChar"/>
    <w:qFormat/>
    <w:rsid w:val="00FA40F6"/>
    <w:pPr>
      <w:spacing w:before="5040"/>
      <w:jc w:val="center"/>
    </w:pPr>
    <w:rPr>
      <w:sz w:val="48"/>
      <w:szCs w:val="72"/>
      <w:lang w:val="en-US"/>
    </w:rPr>
  </w:style>
  <w:style w:type="character" w:customStyle="1" w:styleId="TitleChar">
    <w:name w:val="Title Char"/>
    <w:basedOn w:val="DefaultParagraphFont"/>
    <w:link w:val="Title"/>
    <w:rsid w:val="00FA4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0F6"/>
    <w:pPr>
      <w:tabs>
        <w:tab w:val="left" w:pos="3600"/>
        <w:tab w:val="left" w:pos="3958"/>
      </w:tabs>
    </w:pPr>
  </w:style>
  <w:style w:type="paragraph" w:styleId="List">
    <w:name w:val="List"/>
    <w:basedOn w:val="BodyText"/>
    <w:next w:val="BodyText"/>
    <w:rsid w:val="00FA40F6"/>
    <w:pPr>
      <w:tabs>
        <w:tab w:val="left" w:pos="340"/>
      </w:tabs>
      <w:spacing w:before="60" w:after="60"/>
      <w:ind w:left="340" w:hanging="340"/>
    </w:pPr>
  </w:style>
  <w:style w:type="paragraph" w:customStyle="1" w:styleId="Note">
    <w:name w:val="Note"/>
    <w:basedOn w:val="BodyText"/>
    <w:rsid w:val="00FA4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0F6"/>
    <w:pPr>
      <w:framePr w:wrap="auto" w:hAnchor="text" w:y="6049"/>
    </w:pPr>
    <w:rPr>
      <w:color w:val="000000"/>
      <w:sz w:val="40"/>
    </w:rPr>
  </w:style>
  <w:style w:type="paragraph" w:customStyle="1" w:styleId="TOCTitle">
    <w:name w:val="TOCTitle"/>
    <w:basedOn w:val="Heading1"/>
    <w:rsid w:val="00FA40F6"/>
    <w:pPr>
      <w:spacing w:after="240"/>
      <w:jc w:val="center"/>
      <w:outlineLvl w:val="9"/>
    </w:pPr>
    <w:rPr>
      <w:caps/>
    </w:rPr>
  </w:style>
  <w:style w:type="paragraph" w:customStyle="1" w:styleId="Version">
    <w:name w:val="Version"/>
    <w:rsid w:val="00FA40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0F6"/>
    <w:pPr>
      <w:numPr>
        <w:numId w:val="12"/>
      </w:numPr>
      <w:tabs>
        <w:tab w:val="clear" w:pos="680"/>
      </w:tabs>
    </w:pPr>
  </w:style>
  <w:style w:type="paragraph" w:styleId="Index1">
    <w:name w:val="index 1"/>
    <w:basedOn w:val="Normal"/>
    <w:next w:val="Normal"/>
    <w:semiHidden/>
    <w:rsid w:val="00FA40F6"/>
    <w:pPr>
      <w:keepNext w:val="0"/>
      <w:tabs>
        <w:tab w:val="right" w:pos="4176"/>
      </w:tabs>
      <w:ind w:left="198" w:hanging="198"/>
    </w:pPr>
    <w:rPr>
      <w:rFonts w:ascii="Garamond" w:hAnsi="Garamond"/>
    </w:rPr>
  </w:style>
  <w:style w:type="paragraph" w:styleId="IndexHeading">
    <w:name w:val="index heading"/>
    <w:basedOn w:val="Normal"/>
    <w:next w:val="Index1"/>
    <w:semiHidden/>
    <w:rsid w:val="00FA40F6"/>
    <w:pPr>
      <w:spacing w:before="120" w:after="120"/>
    </w:pPr>
    <w:rPr>
      <w:rFonts w:ascii="Arial" w:hAnsi="Arial"/>
      <w:b/>
      <w:color w:val="918585"/>
      <w:sz w:val="24"/>
    </w:rPr>
  </w:style>
  <w:style w:type="paragraph" w:styleId="Header">
    <w:name w:val="header"/>
    <w:basedOn w:val="Normal"/>
    <w:link w:val="HeaderChar"/>
    <w:rsid w:val="00FA4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0F6"/>
    <w:rPr>
      <w:rFonts w:ascii="Times New Roman" w:eastAsia="Times New Roman" w:hAnsi="Times New Roman" w:cs="Times New Roman"/>
      <w:sz w:val="16"/>
      <w:szCs w:val="20"/>
      <w:lang w:val="en-GB" w:eastAsia="en-US"/>
    </w:rPr>
  </w:style>
  <w:style w:type="paragraph" w:customStyle="1" w:styleId="Chapter">
    <w:name w:val="Chapter"/>
    <w:basedOn w:val="Normal"/>
    <w:rsid w:val="00FA40F6"/>
    <w:pPr>
      <w:spacing w:before="240"/>
    </w:pPr>
    <w:rPr>
      <w:rFonts w:ascii="Times New Roman" w:hAnsi="Times New Roman"/>
      <w:smallCaps/>
      <w:spacing w:val="80"/>
      <w:sz w:val="28"/>
    </w:rPr>
  </w:style>
  <w:style w:type="paragraph" w:customStyle="1" w:styleId="InChapter">
    <w:name w:val="InChapter"/>
    <w:basedOn w:val="Heading3"/>
    <w:rsid w:val="00FA40F6"/>
    <w:pPr>
      <w:spacing w:after="240"/>
      <w:outlineLvl w:val="9"/>
    </w:pPr>
    <w:rPr>
      <w:noProof/>
    </w:rPr>
  </w:style>
  <w:style w:type="paragraph" w:styleId="Index2">
    <w:name w:val="index 2"/>
    <w:basedOn w:val="Normal"/>
    <w:next w:val="Normal"/>
    <w:semiHidden/>
    <w:rsid w:val="00FA40F6"/>
    <w:pPr>
      <w:tabs>
        <w:tab w:val="right" w:pos="4176"/>
      </w:tabs>
      <w:ind w:left="568" w:hanging="284"/>
    </w:pPr>
    <w:rPr>
      <w:rFonts w:ascii="Garamond" w:hAnsi="Garamond"/>
    </w:rPr>
  </w:style>
  <w:style w:type="paragraph" w:customStyle="1" w:styleId="Byline">
    <w:name w:val="Byline"/>
    <w:rsid w:val="00FA4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0F6"/>
    <w:pPr>
      <w:tabs>
        <w:tab w:val="clear" w:pos="3600"/>
        <w:tab w:val="clear" w:pos="3958"/>
      </w:tabs>
      <w:jc w:val="right"/>
    </w:pPr>
  </w:style>
  <w:style w:type="paragraph" w:styleId="Caption">
    <w:name w:val="caption"/>
    <w:basedOn w:val="BodyText"/>
    <w:next w:val="Normal"/>
    <w:qFormat/>
    <w:rsid w:val="00FA40F6"/>
    <w:pPr>
      <w:framePr w:w="2268" w:hSpace="181" w:vSpace="181" w:wrap="around" w:vAnchor="text" w:hAnchor="page" w:x="1135" w:y="285" w:anchorLock="1"/>
    </w:pPr>
    <w:rPr>
      <w:i/>
    </w:rPr>
  </w:style>
  <w:style w:type="paragraph" w:customStyle="1" w:styleId="MiniTOCTitle">
    <w:name w:val="MiniTOCTitle"/>
    <w:basedOn w:val="Heading4"/>
    <w:rsid w:val="00FA40F6"/>
    <w:pPr>
      <w:spacing w:before="240"/>
      <w:outlineLvl w:val="9"/>
    </w:pPr>
    <w:rPr>
      <w:noProof/>
      <w:sz w:val="24"/>
    </w:rPr>
  </w:style>
  <w:style w:type="paragraph" w:customStyle="1" w:styleId="MiniTOCItem">
    <w:name w:val="MiniTOCItem"/>
    <w:basedOn w:val="ListBullet"/>
    <w:rsid w:val="00FA40F6"/>
    <w:pPr>
      <w:numPr>
        <w:numId w:val="0"/>
      </w:numPr>
      <w:tabs>
        <w:tab w:val="right" w:leader="dot" w:pos="6521"/>
      </w:tabs>
      <w:spacing w:before="0" w:after="0"/>
    </w:pPr>
  </w:style>
  <w:style w:type="paragraph" w:customStyle="1" w:styleId="TOFTitle">
    <w:name w:val="TOFTitle"/>
    <w:basedOn w:val="TOCTitle"/>
    <w:rsid w:val="00FA40F6"/>
  </w:style>
  <w:style w:type="paragraph" w:styleId="TableofFigures">
    <w:name w:val="table of figures"/>
    <w:basedOn w:val="Normal"/>
    <w:next w:val="Normal"/>
    <w:semiHidden/>
    <w:rsid w:val="00FA40F6"/>
    <w:pPr>
      <w:tabs>
        <w:tab w:val="right" w:leader="dot" w:pos="9072"/>
      </w:tabs>
      <w:ind w:left="970" w:hanging="403"/>
    </w:pPr>
    <w:rPr>
      <w:rFonts w:ascii="Times New Roman" w:hAnsi="Times New Roman"/>
      <w:b/>
    </w:rPr>
  </w:style>
  <w:style w:type="paragraph" w:styleId="ListNumber">
    <w:name w:val="List Number"/>
    <w:basedOn w:val="List"/>
    <w:rsid w:val="00FA40F6"/>
    <w:pPr>
      <w:numPr>
        <w:numId w:val="14"/>
      </w:numPr>
      <w:tabs>
        <w:tab w:val="clear" w:pos="340"/>
      </w:tabs>
    </w:pPr>
  </w:style>
  <w:style w:type="character" w:customStyle="1" w:styleId="WingdingSymbols">
    <w:name w:val="Wingding Symbols"/>
    <w:rsid w:val="00FA40F6"/>
    <w:rPr>
      <w:rFonts w:ascii="Wingdings" w:hAnsi="Wingdings"/>
    </w:rPr>
  </w:style>
  <w:style w:type="paragraph" w:customStyle="1" w:styleId="TableHeading">
    <w:name w:val="Table Heading"/>
    <w:basedOn w:val="HeadingBase"/>
    <w:rsid w:val="00FA40F6"/>
    <w:pPr>
      <w:keepLines/>
      <w:pBdr>
        <w:bottom w:val="single" w:sz="6" w:space="1" w:color="918585"/>
      </w:pBdr>
      <w:spacing w:before="240"/>
    </w:pPr>
  </w:style>
  <w:style w:type="character" w:customStyle="1" w:styleId="HotSpot">
    <w:name w:val="HotSpot"/>
    <w:rsid w:val="00FA40F6"/>
    <w:rPr>
      <w:color w:val="0033CC"/>
      <w:u w:val="none"/>
    </w:rPr>
  </w:style>
  <w:style w:type="paragraph" w:customStyle="1" w:styleId="BodyTextRight">
    <w:name w:val="Body Text Right"/>
    <w:basedOn w:val="BodyText"/>
    <w:rsid w:val="00FA40F6"/>
    <w:pPr>
      <w:spacing w:before="0" w:after="0"/>
      <w:jc w:val="right"/>
    </w:pPr>
  </w:style>
  <w:style w:type="paragraph" w:styleId="Index3">
    <w:name w:val="index 3"/>
    <w:basedOn w:val="ListNumber2"/>
    <w:next w:val="Normal"/>
    <w:semiHidden/>
    <w:rsid w:val="00FA40F6"/>
    <w:pPr>
      <w:numPr>
        <w:numId w:val="0"/>
      </w:numPr>
      <w:tabs>
        <w:tab w:val="right" w:leader="dot" w:pos="4176"/>
      </w:tabs>
    </w:pPr>
  </w:style>
  <w:style w:type="paragraph" w:styleId="ListNumber2">
    <w:name w:val="List Number 2"/>
    <w:basedOn w:val="List2"/>
    <w:rsid w:val="00FA40F6"/>
    <w:pPr>
      <w:numPr>
        <w:numId w:val="9"/>
      </w:numPr>
      <w:tabs>
        <w:tab w:val="clear" w:pos="1060"/>
      </w:tabs>
    </w:pPr>
  </w:style>
  <w:style w:type="paragraph" w:customStyle="1" w:styleId="MarginNote">
    <w:name w:val="Margin Note"/>
    <w:basedOn w:val="BodyText"/>
    <w:rsid w:val="00FA4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0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0F6"/>
    <w:rPr>
      <w:sz w:val="32"/>
    </w:rPr>
  </w:style>
  <w:style w:type="paragraph" w:customStyle="1" w:styleId="HeadingProcedure">
    <w:name w:val="Heading Procedure"/>
    <w:basedOn w:val="HeadingBase"/>
    <w:next w:val="Normal"/>
    <w:rsid w:val="00FA40F6"/>
    <w:pPr>
      <w:tabs>
        <w:tab w:val="left" w:pos="0"/>
      </w:tabs>
      <w:spacing w:before="120" w:after="60"/>
    </w:pPr>
    <w:rPr>
      <w:i/>
      <w:color w:val="918585"/>
      <w:sz w:val="22"/>
    </w:rPr>
  </w:style>
  <w:style w:type="paragraph" w:customStyle="1" w:styleId="TableBodyText">
    <w:name w:val="Table Body Text"/>
    <w:basedOn w:val="BodyText"/>
    <w:rsid w:val="00FA40F6"/>
    <w:pPr>
      <w:spacing w:before="60" w:after="60"/>
    </w:pPr>
  </w:style>
  <w:style w:type="paragraph" w:styleId="ListContinue">
    <w:name w:val="List Continue"/>
    <w:basedOn w:val="List"/>
    <w:rsid w:val="00FA40F6"/>
    <w:pPr>
      <w:ind w:firstLine="0"/>
    </w:pPr>
  </w:style>
  <w:style w:type="paragraph" w:customStyle="1" w:styleId="ListNote">
    <w:name w:val="List Note"/>
    <w:basedOn w:val="List"/>
    <w:rsid w:val="00FA40F6"/>
    <w:pPr>
      <w:pBdr>
        <w:top w:val="single" w:sz="6" w:space="2" w:color="918585"/>
        <w:bottom w:val="single" w:sz="6" w:space="2" w:color="918585"/>
      </w:pBdr>
      <w:tabs>
        <w:tab w:val="left" w:pos="1021"/>
      </w:tabs>
      <w:ind w:firstLine="0"/>
    </w:pPr>
  </w:style>
  <w:style w:type="paragraph" w:customStyle="1" w:styleId="Warning">
    <w:name w:val="Warning"/>
    <w:basedOn w:val="BodyText"/>
    <w:rsid w:val="00FA40F6"/>
    <w:pPr>
      <w:shd w:val="clear" w:color="auto" w:fill="D9D9D9"/>
      <w:tabs>
        <w:tab w:val="left" w:pos="992"/>
      </w:tabs>
      <w:ind w:left="119" w:right="119"/>
    </w:pPr>
    <w:rPr>
      <w:sz w:val="20"/>
    </w:rPr>
  </w:style>
  <w:style w:type="paragraph" w:customStyle="1" w:styleId="MarginIcons">
    <w:name w:val="Margin Icons"/>
    <w:basedOn w:val="BodyText"/>
    <w:rsid w:val="00FA4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0F6"/>
    <w:rPr>
      <w:rFonts w:ascii="Courier New" w:hAnsi="Courier New"/>
    </w:rPr>
  </w:style>
  <w:style w:type="paragraph" w:customStyle="1" w:styleId="NoteBullet">
    <w:name w:val="Note Bullet"/>
    <w:basedOn w:val="Note"/>
    <w:rsid w:val="00FA40F6"/>
    <w:pPr>
      <w:tabs>
        <w:tab w:val="clear" w:pos="680"/>
      </w:tabs>
      <w:spacing w:before="60" w:after="60"/>
    </w:pPr>
  </w:style>
  <w:style w:type="paragraph" w:customStyle="1" w:styleId="SubHeading2">
    <w:name w:val="SubHeading2"/>
    <w:basedOn w:val="HeadingBase"/>
    <w:rsid w:val="00FA40F6"/>
    <w:pPr>
      <w:spacing w:before="240" w:after="60"/>
    </w:pPr>
    <w:rPr>
      <w:sz w:val="20"/>
    </w:rPr>
  </w:style>
  <w:style w:type="paragraph" w:customStyle="1" w:styleId="SubHeading1">
    <w:name w:val="SubHeading1"/>
    <w:basedOn w:val="HeadingBase"/>
    <w:rsid w:val="00FA40F6"/>
    <w:pPr>
      <w:spacing w:before="240" w:after="60"/>
    </w:pPr>
    <w:rPr>
      <w:color w:val="918585"/>
      <w:sz w:val="22"/>
    </w:rPr>
  </w:style>
  <w:style w:type="paragraph" w:customStyle="1" w:styleId="SideHeading">
    <w:name w:val="Side Heading"/>
    <w:basedOn w:val="HeadingBase"/>
    <w:rsid w:val="00FA4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0F6"/>
    <w:pPr>
      <w:numPr>
        <w:numId w:val="10"/>
      </w:numPr>
    </w:pPr>
  </w:style>
  <w:style w:type="paragraph" w:styleId="PlainText">
    <w:name w:val="Plain Text"/>
    <w:basedOn w:val="Normal"/>
    <w:link w:val="PlainTextChar"/>
    <w:rsid w:val="00FA40F6"/>
    <w:rPr>
      <w:sz w:val="20"/>
    </w:rPr>
  </w:style>
  <w:style w:type="character" w:customStyle="1" w:styleId="PlainTextChar">
    <w:name w:val="Plain Text Char"/>
    <w:basedOn w:val="DefaultParagraphFont"/>
    <w:link w:val="PlainText"/>
    <w:rsid w:val="00FA40F6"/>
    <w:rPr>
      <w:rFonts w:ascii="Courier New" w:eastAsia="Times New Roman" w:hAnsi="Courier New" w:cs="Times New Roman"/>
      <w:sz w:val="20"/>
      <w:szCs w:val="20"/>
      <w:lang w:eastAsia="en-US"/>
    </w:rPr>
  </w:style>
  <w:style w:type="character" w:customStyle="1" w:styleId="MenuOption">
    <w:name w:val="Menu Option"/>
    <w:basedOn w:val="DefaultParagraphFont"/>
    <w:rsid w:val="00FA40F6"/>
    <w:rPr>
      <w:b/>
      <w:smallCaps/>
    </w:rPr>
  </w:style>
  <w:style w:type="paragraph" w:customStyle="1" w:styleId="TableListNumber">
    <w:name w:val="Table List Number"/>
    <w:basedOn w:val="ListNumber"/>
    <w:rsid w:val="00FA40F6"/>
    <w:pPr>
      <w:numPr>
        <w:numId w:val="0"/>
      </w:numPr>
    </w:pPr>
  </w:style>
  <w:style w:type="paragraph" w:styleId="TOC4">
    <w:name w:val="toc 4"/>
    <w:basedOn w:val="TOCBase"/>
    <w:next w:val="Normal"/>
    <w:semiHidden/>
    <w:rsid w:val="00FA40F6"/>
    <w:pPr>
      <w:tabs>
        <w:tab w:val="right" w:leader="dot" w:pos="9071"/>
      </w:tabs>
      <w:ind w:left="1701"/>
    </w:pPr>
  </w:style>
  <w:style w:type="paragraph" w:customStyle="1" w:styleId="ListAlpha">
    <w:name w:val="List Alpha"/>
    <w:basedOn w:val="List"/>
    <w:rsid w:val="00FA40F6"/>
    <w:pPr>
      <w:numPr>
        <w:numId w:val="8"/>
      </w:numPr>
    </w:pPr>
  </w:style>
  <w:style w:type="paragraph" w:customStyle="1" w:styleId="ListAlpha2">
    <w:name w:val="List Alpha 2"/>
    <w:basedOn w:val="List2"/>
    <w:rsid w:val="00FA40F6"/>
    <w:pPr>
      <w:numPr>
        <w:numId w:val="7"/>
      </w:numPr>
    </w:pPr>
  </w:style>
  <w:style w:type="paragraph" w:styleId="List2">
    <w:name w:val="List 2"/>
    <w:basedOn w:val="BodyText"/>
    <w:rsid w:val="00FA40F6"/>
    <w:pPr>
      <w:tabs>
        <w:tab w:val="left" w:pos="680"/>
      </w:tabs>
      <w:spacing w:before="60" w:after="60"/>
      <w:ind w:left="680" w:hanging="340"/>
    </w:pPr>
  </w:style>
  <w:style w:type="paragraph" w:styleId="List3">
    <w:name w:val="List 3"/>
    <w:basedOn w:val="BodyText"/>
    <w:rsid w:val="00FA40F6"/>
    <w:pPr>
      <w:tabs>
        <w:tab w:val="left" w:pos="1021"/>
      </w:tabs>
      <w:spacing w:before="60" w:after="60"/>
      <w:ind w:left="1020" w:hanging="340"/>
    </w:pPr>
  </w:style>
  <w:style w:type="paragraph" w:styleId="List4">
    <w:name w:val="List 4"/>
    <w:basedOn w:val="BodyText"/>
    <w:rsid w:val="00FA40F6"/>
    <w:pPr>
      <w:tabs>
        <w:tab w:val="left" w:pos="1361"/>
      </w:tabs>
      <w:spacing w:before="60" w:after="60"/>
      <w:ind w:left="1361" w:hanging="340"/>
    </w:pPr>
  </w:style>
  <w:style w:type="paragraph" w:styleId="List5">
    <w:name w:val="List 5"/>
    <w:basedOn w:val="BodyText"/>
    <w:rsid w:val="00FA40F6"/>
    <w:pPr>
      <w:tabs>
        <w:tab w:val="left" w:pos="1701"/>
      </w:tabs>
      <w:spacing w:before="60" w:after="60"/>
      <w:ind w:left="1701" w:hanging="340"/>
    </w:pPr>
  </w:style>
  <w:style w:type="paragraph" w:styleId="ListBullet3">
    <w:name w:val="List Bullet 3"/>
    <w:basedOn w:val="List3"/>
    <w:rsid w:val="00FA40F6"/>
    <w:pPr>
      <w:numPr>
        <w:numId w:val="13"/>
      </w:numPr>
      <w:tabs>
        <w:tab w:val="clear" w:pos="1021"/>
      </w:tabs>
      <w:ind w:left="1037" w:hanging="357"/>
    </w:pPr>
  </w:style>
  <w:style w:type="paragraph" w:styleId="ListBullet4">
    <w:name w:val="List Bullet 4"/>
    <w:basedOn w:val="List4"/>
    <w:rsid w:val="00FA40F6"/>
    <w:pPr>
      <w:numPr>
        <w:numId w:val="2"/>
      </w:numPr>
      <w:tabs>
        <w:tab w:val="clear" w:pos="1361"/>
      </w:tabs>
    </w:pPr>
  </w:style>
  <w:style w:type="paragraph" w:styleId="ListBullet5">
    <w:name w:val="List Bullet 5"/>
    <w:basedOn w:val="List5"/>
    <w:rsid w:val="00FA40F6"/>
    <w:pPr>
      <w:numPr>
        <w:numId w:val="3"/>
      </w:numPr>
    </w:pPr>
  </w:style>
  <w:style w:type="paragraph" w:styleId="ListContinue2">
    <w:name w:val="List Continue 2"/>
    <w:basedOn w:val="List2"/>
    <w:rsid w:val="00FA40F6"/>
    <w:pPr>
      <w:ind w:firstLine="0"/>
    </w:pPr>
  </w:style>
  <w:style w:type="paragraph" w:styleId="ListContinue3">
    <w:name w:val="List Continue 3"/>
    <w:basedOn w:val="List3"/>
    <w:rsid w:val="00FA40F6"/>
    <w:pPr>
      <w:ind w:left="1021" w:firstLine="0"/>
    </w:pPr>
  </w:style>
  <w:style w:type="paragraph" w:styleId="ListContinue4">
    <w:name w:val="List Continue 4"/>
    <w:basedOn w:val="List4"/>
    <w:rsid w:val="00FA40F6"/>
    <w:pPr>
      <w:ind w:firstLine="0"/>
    </w:pPr>
  </w:style>
  <w:style w:type="paragraph" w:styleId="ListContinue5">
    <w:name w:val="List Continue 5"/>
    <w:basedOn w:val="List5"/>
    <w:rsid w:val="00FA40F6"/>
    <w:pPr>
      <w:ind w:firstLine="0"/>
    </w:pPr>
  </w:style>
  <w:style w:type="paragraph" w:styleId="ListNumber3">
    <w:name w:val="List Number 3"/>
    <w:basedOn w:val="List3"/>
    <w:rsid w:val="00FA40F6"/>
    <w:pPr>
      <w:numPr>
        <w:numId w:val="4"/>
      </w:numPr>
    </w:pPr>
  </w:style>
  <w:style w:type="paragraph" w:styleId="ListNumber4">
    <w:name w:val="List Number 4"/>
    <w:basedOn w:val="List4"/>
    <w:rsid w:val="00FA40F6"/>
    <w:pPr>
      <w:numPr>
        <w:numId w:val="5"/>
      </w:numPr>
    </w:pPr>
  </w:style>
  <w:style w:type="paragraph" w:styleId="ListNumber5">
    <w:name w:val="List Number 5"/>
    <w:basedOn w:val="List5"/>
    <w:rsid w:val="00FA40F6"/>
    <w:pPr>
      <w:numPr>
        <w:numId w:val="6"/>
      </w:numPr>
    </w:pPr>
  </w:style>
  <w:style w:type="paragraph" w:styleId="BlockText">
    <w:name w:val="Block Text"/>
    <w:basedOn w:val="Normal"/>
    <w:rsid w:val="00FA40F6"/>
    <w:pPr>
      <w:spacing w:after="120"/>
      <w:ind w:left="1440" w:right="1440"/>
    </w:pPr>
  </w:style>
  <w:style w:type="character" w:customStyle="1" w:styleId="Subscript">
    <w:name w:val="Subscript"/>
    <w:basedOn w:val="DefaultParagraphFont"/>
    <w:rsid w:val="00FA40F6"/>
    <w:rPr>
      <w:sz w:val="16"/>
      <w:vertAlign w:val="subscript"/>
    </w:rPr>
  </w:style>
  <w:style w:type="character" w:customStyle="1" w:styleId="Superscript">
    <w:name w:val="Superscript"/>
    <w:basedOn w:val="DefaultParagraphFont"/>
    <w:rsid w:val="00FA40F6"/>
    <w:rPr>
      <w:sz w:val="16"/>
      <w:vertAlign w:val="superscript"/>
    </w:rPr>
  </w:style>
  <w:style w:type="character" w:customStyle="1" w:styleId="Symbols">
    <w:name w:val="Symbols"/>
    <w:basedOn w:val="DefaultParagraphFont"/>
    <w:rsid w:val="00FA40F6"/>
    <w:rPr>
      <w:rFonts w:ascii="Symbol" w:hAnsi="Symbol"/>
    </w:rPr>
  </w:style>
  <w:style w:type="character" w:customStyle="1" w:styleId="MenuOptions">
    <w:name w:val="Menu Options"/>
    <w:basedOn w:val="DefaultParagraphFont"/>
    <w:rsid w:val="00FA40F6"/>
    <w:rPr>
      <w:rFonts w:ascii="Arial Narrow" w:hAnsi="Arial Narrow"/>
      <w:smallCaps/>
    </w:rPr>
  </w:style>
  <w:style w:type="character" w:customStyle="1" w:styleId="Buttons">
    <w:name w:val="Buttons"/>
    <w:basedOn w:val="DefaultParagraphFont"/>
    <w:rsid w:val="00FA40F6"/>
    <w:rPr>
      <w:b/>
    </w:rPr>
  </w:style>
  <w:style w:type="character" w:customStyle="1" w:styleId="Underlined">
    <w:name w:val="Underlined"/>
    <w:basedOn w:val="DefaultParagraphFont"/>
    <w:rsid w:val="00FA40F6"/>
    <w:rPr>
      <w:u w:val="single"/>
    </w:rPr>
  </w:style>
  <w:style w:type="paragraph" w:customStyle="1" w:styleId="TableBodyTextRight">
    <w:name w:val="Table Body Text Right"/>
    <w:basedOn w:val="TableBodyText"/>
    <w:rsid w:val="00FA40F6"/>
    <w:pPr>
      <w:widowControl w:val="0"/>
      <w:autoSpaceDE w:val="0"/>
      <w:autoSpaceDN w:val="0"/>
      <w:adjustRightInd w:val="0"/>
      <w:jc w:val="right"/>
    </w:pPr>
    <w:rPr>
      <w:rFonts w:cs="Arial"/>
      <w:szCs w:val="18"/>
    </w:rPr>
  </w:style>
  <w:style w:type="paragraph" w:customStyle="1" w:styleId="CopyrightText">
    <w:name w:val="Copyright Text"/>
    <w:basedOn w:val="BodyText"/>
    <w:rsid w:val="00FA40F6"/>
    <w:rPr>
      <w:sz w:val="18"/>
    </w:rPr>
  </w:style>
  <w:style w:type="paragraph" w:customStyle="1" w:styleId="BodySmallRight">
    <w:name w:val="Body Small Right"/>
    <w:basedOn w:val="BodyTextRight"/>
    <w:rsid w:val="00FA40F6"/>
    <w:rPr>
      <w:sz w:val="18"/>
      <w:szCs w:val="18"/>
    </w:rPr>
  </w:style>
  <w:style w:type="paragraph" w:customStyle="1" w:styleId="MarginEdition">
    <w:name w:val="Margin Edition"/>
    <w:basedOn w:val="MarginNote"/>
    <w:rsid w:val="00FA40F6"/>
    <w:pPr>
      <w:spacing w:before="0" w:after="0"/>
    </w:pPr>
    <w:rPr>
      <w:rFonts w:ascii="Times New Roman" w:hAnsi="Times New Roman"/>
      <w:color w:val="999999"/>
    </w:rPr>
  </w:style>
  <w:style w:type="paragraph" w:customStyle="1" w:styleId="Spacer">
    <w:name w:val="Spacer"/>
    <w:basedOn w:val="Normal"/>
    <w:rsid w:val="00FA40F6"/>
    <w:rPr>
      <w:sz w:val="2"/>
      <w:szCs w:val="2"/>
    </w:rPr>
  </w:style>
  <w:style w:type="character" w:customStyle="1" w:styleId="Small">
    <w:name w:val="Small"/>
    <w:basedOn w:val="DefaultParagraphFont"/>
    <w:rsid w:val="00FA40F6"/>
    <w:rPr>
      <w:sz w:val="16"/>
    </w:rPr>
  </w:style>
  <w:style w:type="paragraph" w:customStyle="1" w:styleId="WideTable">
    <w:name w:val="Wide Table"/>
    <w:basedOn w:val="Normal"/>
    <w:rsid w:val="00FA40F6"/>
    <w:pPr>
      <w:ind w:left="-1418"/>
    </w:pPr>
    <w:rPr>
      <w:sz w:val="2"/>
      <w:szCs w:val="2"/>
    </w:rPr>
  </w:style>
  <w:style w:type="character" w:styleId="PageNumber">
    <w:name w:val="page number"/>
    <w:basedOn w:val="DefaultParagraphFont"/>
    <w:rsid w:val="00FA40F6"/>
  </w:style>
  <w:style w:type="paragraph" w:styleId="Quote">
    <w:name w:val="Quote"/>
    <w:basedOn w:val="Heading1"/>
    <w:link w:val="QuoteChar"/>
    <w:qFormat/>
    <w:rsid w:val="00FA40F6"/>
    <w:rPr>
      <w:b w:val="0"/>
      <w:sz w:val="72"/>
      <w:szCs w:val="72"/>
      <w:lang w:val="en-NZ"/>
    </w:rPr>
  </w:style>
  <w:style w:type="character" w:customStyle="1" w:styleId="QuoteChar">
    <w:name w:val="Quote Char"/>
    <w:basedOn w:val="DefaultParagraphFont"/>
    <w:link w:val="Quote"/>
    <w:rsid w:val="00FA4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0F6"/>
    <w:pPr>
      <w:pageBreakBefore/>
    </w:pPr>
  </w:style>
  <w:style w:type="paragraph" w:customStyle="1" w:styleId="Border">
    <w:name w:val="Border"/>
    <w:basedOn w:val="Normal"/>
    <w:qFormat/>
    <w:rsid w:val="00FA4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0F6"/>
    <w:rPr>
      <w:b/>
      <w:bCs/>
      <w:i/>
      <w:iCs/>
      <w:color w:val="auto"/>
    </w:rPr>
  </w:style>
  <w:style w:type="paragraph" w:styleId="IntenseQuote">
    <w:name w:val="Intense Quote"/>
    <w:basedOn w:val="Normal"/>
    <w:next w:val="Normal"/>
    <w:link w:val="IntenseQuoteChar"/>
    <w:uiPriority w:val="30"/>
    <w:qFormat/>
    <w:rsid w:val="00FA4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0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0F6"/>
    <w:rPr>
      <w:smallCaps/>
      <w:color w:val="auto"/>
      <w:u w:val="single"/>
    </w:rPr>
  </w:style>
  <w:style w:type="character" w:styleId="IntenseReference">
    <w:name w:val="Intense Reference"/>
    <w:basedOn w:val="DefaultParagraphFont"/>
    <w:uiPriority w:val="32"/>
    <w:qFormat/>
    <w:rsid w:val="00FA40F6"/>
    <w:rPr>
      <w:b/>
      <w:bCs/>
      <w:smallCaps/>
      <w:color w:val="auto"/>
      <w:spacing w:val="5"/>
      <w:u w:val="single"/>
    </w:rPr>
  </w:style>
  <w:style w:type="paragraph" w:customStyle="1" w:styleId="2ColumnHeading">
    <w:name w:val="2Column Heading"/>
    <w:basedOn w:val="BodyText"/>
    <w:qFormat/>
    <w:rsid w:val="00FA40F6"/>
    <w:pPr>
      <w:spacing w:after="60"/>
      <w:ind w:left="-2268"/>
    </w:pPr>
    <w:rPr>
      <w:b/>
    </w:rPr>
  </w:style>
  <w:style w:type="paragraph" w:customStyle="1" w:styleId="Heading1TOC">
    <w:name w:val="Heading1 TOC"/>
    <w:basedOn w:val="Normal"/>
    <w:qFormat/>
    <w:rsid w:val="00FA40F6"/>
    <w:pPr>
      <w:spacing w:before="240" w:after="120"/>
    </w:pPr>
    <w:rPr>
      <w:rFonts w:ascii="Times New Roman" w:hAnsi="Times New Roman"/>
      <w:b/>
      <w:sz w:val="32"/>
    </w:rPr>
  </w:style>
  <w:style w:type="paragraph" w:customStyle="1" w:styleId="Heading2TOC">
    <w:name w:val="Heading2 TOC"/>
    <w:basedOn w:val="Normal"/>
    <w:qFormat/>
    <w:rsid w:val="00FA40F6"/>
    <w:pPr>
      <w:spacing w:before="240" w:after="60"/>
    </w:pPr>
    <w:rPr>
      <w:rFonts w:ascii="Times New Roman" w:hAnsi="Times New Roman"/>
      <w:b/>
      <w:sz w:val="28"/>
    </w:rPr>
  </w:style>
  <w:style w:type="character" w:customStyle="1" w:styleId="Underline">
    <w:name w:val="Underline"/>
    <w:basedOn w:val="DefaultParagraphFont"/>
    <w:qFormat/>
    <w:rsid w:val="00FA40F6"/>
    <w:rPr>
      <w:u w:val="single"/>
    </w:rPr>
  </w:style>
  <w:style w:type="character" w:customStyle="1" w:styleId="BoldandItalics">
    <w:name w:val="Bold and Italics"/>
    <w:qFormat/>
    <w:rsid w:val="00FA40F6"/>
    <w:rPr>
      <w:b/>
      <w:i/>
      <w:u w:val="none"/>
    </w:rPr>
  </w:style>
  <w:style w:type="paragraph" w:styleId="BalloonText">
    <w:name w:val="Balloon Text"/>
    <w:basedOn w:val="Normal"/>
    <w:link w:val="BalloonTextChar"/>
    <w:rsid w:val="00FA40F6"/>
    <w:rPr>
      <w:rFonts w:ascii="Tahoma" w:hAnsi="Tahoma" w:cs="Tahoma"/>
      <w:sz w:val="16"/>
      <w:szCs w:val="16"/>
    </w:rPr>
  </w:style>
  <w:style w:type="character" w:customStyle="1" w:styleId="BalloonTextChar">
    <w:name w:val="Balloon Text Char"/>
    <w:basedOn w:val="DefaultParagraphFont"/>
    <w:link w:val="BalloonText"/>
    <w:rsid w:val="00FA40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0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40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0F6"/>
    <w:rPr>
      <w:b/>
      <w:color w:val="660033"/>
      <w:spacing w:val="0"/>
    </w:rPr>
  </w:style>
  <w:style w:type="paragraph" w:customStyle="1" w:styleId="Nameditemlist">
    <w:name w:val="Named item list"/>
    <w:basedOn w:val="BodyText"/>
    <w:qFormat/>
    <w:rsid w:val="00FA40F6"/>
    <w:pPr>
      <w:tabs>
        <w:tab w:val="left" w:pos="2835"/>
      </w:tabs>
      <w:ind w:left="2835" w:hanging="2835"/>
    </w:pPr>
  </w:style>
  <w:style w:type="paragraph" w:customStyle="1" w:styleId="BodyTextnopadding">
    <w:name w:val="Body Text no padding"/>
    <w:basedOn w:val="BodyText"/>
    <w:qFormat/>
    <w:rsid w:val="00FA40F6"/>
    <w:pPr>
      <w:spacing w:before="0" w:after="0"/>
    </w:pPr>
  </w:style>
  <w:style w:type="paragraph" w:customStyle="1" w:styleId="BodyTextBold">
    <w:name w:val="Body Text Bold"/>
    <w:basedOn w:val="BodyText"/>
    <w:qFormat/>
    <w:rsid w:val="00FA40F6"/>
    <w:rPr>
      <w:b/>
    </w:rPr>
  </w:style>
  <w:style w:type="character" w:styleId="Hyperlink">
    <w:name w:val="Hyperlink"/>
    <w:basedOn w:val="DefaultParagraphFont"/>
    <w:uiPriority w:val="99"/>
    <w:unhideWhenUsed/>
    <w:rsid w:val="000A4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4912</Characters>
  <Application>Microsoft Office Word</Application>
  <DocSecurity>0</DocSecurity>
  <Lines>158</Lines>
  <Paragraphs>115</Paragraphs>
  <ScaleCrop>false</ScaleCrop>
  <Company>Author-it Software Corporation Ltd.</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MEM15020 Perform inspection of measuring instruments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2023-02-03T06:34:00Z</dcterms:created>
  <dcterms:modified xsi:type="dcterms:W3CDTF">2023-02-03T06:34:00Z</dcterms:modified>
</cp:coreProperties>
</file>