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0D80" w:rsidP="00C00D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MEM15018 Investigate consumer complaints</w:t>
      </w:r>
      <w:r>
        <w:fldChar w:fldCharType="end"/>
      </w:r>
    </w:p>
    <w:p w:rsidR="00C00D80" w:rsidP="00C00D80">
      <w:pPr>
        <w:pStyle w:val="Version"/>
        <w:sectPr w:rsidSect="00DB3C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3C21" w:rsidP="00DB3C21">
      <w:pPr>
        <w:pStyle w:val="SuperHeading"/>
      </w:pPr>
      <w:r w:rsidRPr="00DB3C21">
        <w:t>Assessment Requirements for MEM15018 Investigate consumer complaints</w:t>
      </w:r>
    </w:p>
    <w:p w:rsidR="00000000" w:rsidRPr="00DB3C21" w:rsidP="00DB3C21">
      <w:pPr>
        <w:pStyle w:val="Heading1"/>
      </w:pPr>
      <w:bookmarkStart w:id="1" w:name="O_953150"/>
      <w:bookmarkEnd w:id="1"/>
      <w:r w:rsidRPr="00DB3C21">
        <w:t>Modification History</w:t>
      </w:r>
    </w:p>
    <w:p w:rsidR="00C00D80" w:rsidP="00C00D80">
      <w:pPr>
        <w:pStyle w:val="BodyText"/>
      </w:pPr>
      <w:r w:rsidRPr="00DB3C21">
        <w:t>Release 1. Supersedes and is equivalent to MEM15018B Investigate consumer complaints.</w:t>
      </w:r>
    </w:p>
    <w:p w:rsidR="00000000" w:rsidRPr="00DB3C21" w:rsidP="00DB3C21">
      <w:pPr>
        <w:pStyle w:val="Heading1"/>
      </w:pPr>
      <w:bookmarkStart w:id="2" w:name="O_953153"/>
      <w:bookmarkEnd w:id="2"/>
      <w:r w:rsidRPr="00DB3C21">
        <w:t>Performance Evidence</w:t>
      </w:r>
    </w:p>
    <w:p w:rsidR="00000000" w:rsidRPr="00DB3C21" w:rsidP="00C00D80">
      <w:pPr>
        <w:pStyle w:val="BodyText"/>
      </w:pPr>
      <w:r w:rsidRPr="00DB3C21">
        <w:t>Evidence required to demonstrate competence in this unit must be relevant to and satisfy the requirements of the elements and performance criteria and include:</w:t>
      </w:r>
    </w:p>
    <w:p w:rsidR="00000000" w:rsidRPr="00DB3C21" w:rsidP="00DB3C21">
      <w:pPr>
        <w:pStyle w:val="ListBullet"/>
      </w:pPr>
      <w:r w:rsidRPr="00DB3C21">
        <w:t xml:space="preserve">following work instructions, standard operating procedures (SOPs) and safe work practices </w:t>
      </w:r>
    </w:p>
    <w:p w:rsidR="00000000" w:rsidRPr="00DB3C21" w:rsidP="00DB3C21">
      <w:pPr>
        <w:pStyle w:val="ListBullet"/>
      </w:pPr>
      <w:r w:rsidRPr="00DB3C21">
        <w:t>reco</w:t>
      </w:r>
      <w:r w:rsidRPr="00DB3C21">
        <w:t xml:space="preserve">rding allegation details in accordance with organisational procedures </w:t>
      </w:r>
    </w:p>
    <w:p w:rsidR="00000000" w:rsidRPr="00DB3C21" w:rsidP="00DB3C21">
      <w:pPr>
        <w:pStyle w:val="ListBullet"/>
      </w:pPr>
      <w:r w:rsidRPr="00DB3C21">
        <w:t>screening complaints to ensure they are relevant on at least two occasions</w:t>
      </w:r>
    </w:p>
    <w:p w:rsidR="00000000" w:rsidRPr="00DB3C21" w:rsidP="00DB3C21">
      <w:pPr>
        <w:pStyle w:val="ListBullet"/>
      </w:pPr>
      <w:r w:rsidRPr="00DB3C21">
        <w:t xml:space="preserve">accessing applicable sources of information </w:t>
      </w:r>
    </w:p>
    <w:p w:rsidR="00000000" w:rsidRPr="00DB3C21" w:rsidP="00DB3C21">
      <w:pPr>
        <w:pStyle w:val="ListBullet"/>
      </w:pPr>
      <w:r w:rsidRPr="00DB3C21">
        <w:t>identifying and organising suitable equipment and briefing person</w:t>
      </w:r>
      <w:r w:rsidRPr="00DB3C21">
        <w:t>nel concerning the requirements of the investigation on at least two occasions</w:t>
      </w:r>
    </w:p>
    <w:p w:rsidR="00000000" w:rsidRPr="00DB3C21" w:rsidP="00DB3C21">
      <w:pPr>
        <w:pStyle w:val="ListBullet"/>
      </w:pPr>
      <w:r w:rsidRPr="00DB3C21">
        <w:t>establishing appropriate courses of action on at least two occasions, including surveillance of trading premises to verify complainant’s allegations, gathering evidence to prove</w:t>
      </w:r>
      <w:r w:rsidRPr="00DB3C21">
        <w:t xml:space="preserve"> all elements of a breach and maintaining the integrity of evidence</w:t>
      </w:r>
    </w:p>
    <w:p w:rsidR="00000000" w:rsidRPr="00DB3C21" w:rsidP="00DB3C21">
      <w:pPr>
        <w:pStyle w:val="ListBullet"/>
      </w:pPr>
      <w:r w:rsidRPr="00DB3C21">
        <w:t>communicating outcomes of the investigation to the complainant within specified organisational timeframes</w:t>
      </w:r>
    </w:p>
    <w:p w:rsidR="00000000" w:rsidRPr="00DB3C21" w:rsidP="00DB3C21">
      <w:pPr>
        <w:pStyle w:val="ListBullet"/>
      </w:pPr>
      <w:r w:rsidRPr="00DB3C21">
        <w:t>completing documentation in accordance with procedures and planning follow-up acti</w:t>
      </w:r>
      <w:r w:rsidRPr="00DB3C21">
        <w:t>vities.</w:t>
      </w:r>
    </w:p>
    <w:p w:rsidR="00000000" w:rsidRPr="00DB3C21" w:rsidP="00DB3C21">
      <w:pPr>
        <w:pStyle w:val="BodyText"/>
      </w:pPr>
    </w:p>
    <w:p w:rsidR="00C00D80" w:rsidRPr="00C00D80" w:rsidP="00C00D80">
      <w:pPr>
        <w:pStyle w:val="BodyText"/>
        <w:rPr>
          <w:i/>
        </w:rPr>
      </w:pPr>
      <w:r w:rsidRPr="00C00D80">
        <w:rPr>
          <w:rStyle w:val="Emphasis"/>
        </w:rPr>
        <w:t>Note: Where a volume and/or frequency is not specified, demonstration must be provided at least once.</w:t>
      </w:r>
    </w:p>
    <w:p w:rsidR="00000000" w:rsidRPr="00DB3C21" w:rsidP="00DB3C21">
      <w:pPr>
        <w:pStyle w:val="Heading1"/>
      </w:pPr>
      <w:bookmarkStart w:id="3" w:name="O_953152"/>
      <w:bookmarkEnd w:id="3"/>
      <w:r w:rsidRPr="00DB3C21">
        <w:t>Knowledge Evidence</w:t>
      </w:r>
    </w:p>
    <w:p w:rsidR="00000000" w:rsidRPr="00DB3C21" w:rsidP="00C00D80">
      <w:pPr>
        <w:pStyle w:val="BodyText"/>
      </w:pPr>
      <w:r w:rsidRPr="00DB3C21">
        <w:t>Evidence required to demonstrate the required knowledge for this unit must be relevant to and satisfy the re</w:t>
      </w:r>
      <w:r w:rsidRPr="00DB3C21">
        <w:t>quirements of the elements and performance criteria and include knowledge of:</w:t>
      </w:r>
    </w:p>
    <w:p w:rsidR="00000000" w:rsidRPr="00DB3C21" w:rsidP="00DB3C21">
      <w:pPr>
        <w:pStyle w:val="ListBullet"/>
      </w:pPr>
      <w:r w:rsidRPr="00DB3C21">
        <w:t xml:space="preserve">safe work practices and procedures </w:t>
      </w:r>
    </w:p>
    <w:p w:rsidR="00000000" w:rsidRPr="00DB3C21" w:rsidP="00DB3C21">
      <w:pPr>
        <w:pStyle w:val="ListBullet"/>
      </w:pPr>
      <w:r w:rsidRPr="00DB3C21">
        <w:t xml:space="preserve">different methods of complaint lodgements </w:t>
      </w:r>
    </w:p>
    <w:p w:rsidR="00000000" w:rsidRPr="00DB3C21" w:rsidP="00DB3C21">
      <w:pPr>
        <w:pStyle w:val="ListBullet"/>
      </w:pPr>
      <w:r w:rsidRPr="00DB3C21">
        <w:t>organisational policy guidelines concerning complaints</w:t>
      </w:r>
    </w:p>
    <w:p w:rsidR="00000000" w:rsidRPr="00DB3C21" w:rsidP="00DB3C21">
      <w:pPr>
        <w:pStyle w:val="ListBullet"/>
      </w:pPr>
      <w:r w:rsidRPr="00DB3C21">
        <w:t xml:space="preserve">organisational guidelines in regard to timelines </w:t>
      </w:r>
    </w:p>
    <w:p w:rsidR="00000000" w:rsidRPr="00DB3C21" w:rsidP="00DB3C21">
      <w:pPr>
        <w:pStyle w:val="ListBullet"/>
      </w:pPr>
      <w:r w:rsidRPr="00DB3C21">
        <w:t>equipment required to investigate complaints</w:t>
      </w:r>
    </w:p>
    <w:p w:rsidR="00000000" w:rsidRPr="00DB3C21" w:rsidP="00DB3C21">
      <w:pPr>
        <w:pStyle w:val="ListBullet"/>
      </w:pPr>
      <w:r w:rsidRPr="00DB3C21">
        <w:t>organisation</w:t>
      </w:r>
      <w:r>
        <w:t>’</w:t>
      </w:r>
      <w:r w:rsidRPr="00DB3C21">
        <w:t xml:space="preserve">s guidelines for the deployment of personnel </w:t>
      </w:r>
    </w:p>
    <w:p w:rsidR="00000000" w:rsidRPr="00DB3C21" w:rsidP="00DB3C21">
      <w:pPr>
        <w:pStyle w:val="ListBullet"/>
      </w:pPr>
      <w:r w:rsidRPr="00DB3C21">
        <w:t xml:space="preserve">scope of possible investigation activities available </w:t>
      </w:r>
    </w:p>
    <w:p w:rsidR="00000000" w:rsidRPr="00DB3C21" w:rsidP="00DB3C21">
      <w:pPr>
        <w:pStyle w:val="ListBullet"/>
      </w:pPr>
      <w:r w:rsidRPr="00DB3C21">
        <w:t xml:space="preserve">elements of offence </w:t>
      </w:r>
    </w:p>
    <w:p w:rsidR="00000000" w:rsidRPr="00DB3C21" w:rsidP="00DB3C21">
      <w:pPr>
        <w:pStyle w:val="ListBullet"/>
      </w:pPr>
      <w:r w:rsidRPr="00DB3C21">
        <w:t>available surveillance meth</w:t>
      </w:r>
      <w:r w:rsidRPr="00DB3C21">
        <w:t>ods for different types of complaints and premises</w:t>
      </w:r>
    </w:p>
    <w:p w:rsidR="00000000" w:rsidRPr="00DB3C21" w:rsidP="00DB3C21">
      <w:pPr>
        <w:pStyle w:val="ListBullet"/>
      </w:pPr>
      <w:r w:rsidRPr="00DB3C21">
        <w:t>evidence required to prove breaches of legislation</w:t>
      </w:r>
    </w:p>
    <w:p w:rsidR="00000000" w:rsidRPr="00DB3C21" w:rsidP="00DB3C21">
      <w:pPr>
        <w:pStyle w:val="ListBullet"/>
      </w:pPr>
      <w:r w:rsidRPr="00DB3C21">
        <w:t>types of investigation methods</w:t>
      </w:r>
    </w:p>
    <w:p w:rsidR="00000000" w:rsidRPr="00DB3C21" w:rsidP="00DB3C21">
      <w:pPr>
        <w:pStyle w:val="ListBullet"/>
      </w:pPr>
      <w:r w:rsidRPr="00DB3C21">
        <w:t xml:space="preserve">required procedures for the handling of evidence to maintain its integrity </w:t>
      </w:r>
    </w:p>
    <w:p w:rsidR="00000000" w:rsidRPr="00DB3C21" w:rsidP="00DB3C21">
      <w:pPr>
        <w:pStyle w:val="ListBullet"/>
      </w:pPr>
      <w:r w:rsidRPr="00DB3C21">
        <w:t xml:space="preserve">reasons for selecting relevant components of a </w:t>
      </w:r>
      <w:r w:rsidRPr="00DB3C21">
        <w:t xml:space="preserve">routine field inspection </w:t>
      </w:r>
    </w:p>
    <w:p w:rsidR="00000000" w:rsidRPr="00DB3C21" w:rsidP="00DB3C21">
      <w:pPr>
        <w:pStyle w:val="ListBullet"/>
      </w:pPr>
      <w:r w:rsidRPr="00DB3C21">
        <w:t>legislative requirements and obligations for the issuing of notices</w:t>
      </w:r>
    </w:p>
    <w:p w:rsidR="00000000" w:rsidRPr="00DB3C21" w:rsidP="00DB3C21">
      <w:pPr>
        <w:pStyle w:val="ListBullet"/>
      </w:pPr>
      <w:r w:rsidRPr="00DB3C21">
        <w:t>organisation</w:t>
      </w:r>
      <w:r>
        <w:t>’</w:t>
      </w:r>
      <w:r w:rsidRPr="00DB3C21">
        <w:t xml:space="preserve">s policy guidelines for return visits </w:t>
      </w:r>
    </w:p>
    <w:p w:rsidR="00000000" w:rsidRPr="00DB3C21" w:rsidP="00DB3C21">
      <w:pPr>
        <w:pStyle w:val="ListBullet"/>
      </w:pPr>
      <w:r w:rsidRPr="00DB3C21">
        <w:t>specific reporting procedures</w:t>
      </w:r>
    </w:p>
    <w:p w:rsidR="00000000" w:rsidRPr="00DB3C21" w:rsidP="00DB3C21">
      <w:pPr>
        <w:pStyle w:val="ListBullet"/>
      </w:pPr>
      <w:r w:rsidRPr="00DB3C21">
        <w:t>complaint outcome classifications</w:t>
      </w:r>
    </w:p>
    <w:p w:rsidR="00C00D80" w:rsidP="00DB3C21">
      <w:pPr>
        <w:pStyle w:val="ListBullet"/>
      </w:pPr>
      <w:r w:rsidRPr="00DB3C21">
        <w:t>complaint documentation procedures.</w:t>
      </w:r>
    </w:p>
    <w:p w:rsidR="00C00D80" w:rsidP="00DB3C21">
      <w:pPr>
        <w:pStyle w:val="ListBullet"/>
      </w:pPr>
    </w:p>
    <w:p w:rsidR="00000000" w:rsidRPr="00DB3C21" w:rsidP="00DB3C21">
      <w:pPr>
        <w:pStyle w:val="Heading1"/>
      </w:pPr>
      <w:bookmarkStart w:id="4" w:name="O_953151"/>
      <w:bookmarkEnd w:id="4"/>
      <w:r w:rsidRPr="00DB3C21">
        <w:t>Assessment Conditions</w:t>
      </w:r>
    </w:p>
    <w:p w:rsidR="00000000" w:rsidRPr="00DB3C21" w:rsidP="00DB3C21">
      <w:pPr>
        <w:pStyle w:val="ListBullet"/>
      </w:pPr>
      <w:r w:rsidRPr="00DB3C21">
        <w:t>Assessors must:</w:t>
      </w:r>
    </w:p>
    <w:p w:rsidR="00000000" w:rsidRPr="00DB3C21" w:rsidP="00DB3C21">
      <w:pPr>
        <w:pStyle w:val="ListBullet2"/>
      </w:pPr>
      <w:r w:rsidRPr="00DB3C21">
        <w:t>have vocational competency in investigating consumer complaints at least to the level being assessed with relevant industry knowledge and experience</w:t>
      </w:r>
    </w:p>
    <w:p w:rsidR="00000000" w:rsidRPr="00DB3C21" w:rsidP="00DB3C21">
      <w:pPr>
        <w:pStyle w:val="ListBullet2"/>
      </w:pPr>
      <w:r w:rsidRPr="00DB3C21">
        <w:t xml:space="preserve">satisfy the assessor requirements in the </w:t>
      </w:r>
      <w:r w:rsidRPr="00DB3C21">
        <w:rPr>
          <w:rStyle w:val="Emphasis"/>
        </w:rPr>
        <w:t xml:space="preserve">Standards for Registered Training Organisations 2015 </w:t>
      </w:r>
      <w:r w:rsidRPr="00DB3C21">
        <w:t>or its replacement</w:t>
      </w:r>
      <w:r w:rsidRPr="00DB3C21">
        <w:rPr>
          <w:rStyle w:val="Emphasis"/>
        </w:rPr>
        <w:t xml:space="preserve"> </w:t>
      </w:r>
      <w:r w:rsidRPr="00DB3C21">
        <w:t xml:space="preserve">and comply with the </w:t>
      </w:r>
      <w:r w:rsidRPr="00DB3C21">
        <w:rPr>
          <w:rStyle w:val="Emphasis"/>
        </w:rPr>
        <w:t xml:space="preserve">National Vocational Education and Training Regulator Act 2011, </w:t>
      </w:r>
      <w:r w:rsidRPr="00DB3C21">
        <w:t>its replacement</w:t>
      </w:r>
      <w:r w:rsidRPr="00DB3C21">
        <w:rPr>
          <w:rStyle w:val="Emphasis"/>
        </w:rPr>
        <w:t xml:space="preserve"> </w:t>
      </w:r>
      <w:r w:rsidRPr="00DB3C21">
        <w:t xml:space="preserve">or equivalent legislation covering VET regulation in a non-referring state/territory </w:t>
      </w:r>
      <w:r w:rsidRPr="00DB3C21">
        <w:t>as the case requires.</w:t>
      </w:r>
    </w:p>
    <w:p w:rsidR="00000000" w:rsidRPr="00DB3C21" w:rsidP="00DB3C21">
      <w:pPr>
        <w:pStyle w:val="ListBullet"/>
      </w:pPr>
      <w:r w:rsidRPr="00DB3C21">
        <w:t>Where possible, assessment must occur in operational workplace situations. Where this is not possible or where personal safety or environmental damage are limiting factors, assessment must occur in a sufficiently rigorous simulated e</w:t>
      </w:r>
      <w:r w:rsidRPr="00DB3C21">
        <w:t>nvironment that reflects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DB3C21" w:rsidP="00DB3C21">
      <w:pPr>
        <w:pStyle w:val="ListBullet"/>
      </w:pPr>
      <w:r w:rsidRPr="00DB3C21">
        <w:t>Conditions</w:t>
      </w:r>
      <w:r w:rsidRPr="00DB3C21">
        <w:t xml:space="preserve"> for assessment must include access to all tools, equipment, materials and documentation required, including relevant workplace procedures, product and manufacturing specifications.</w:t>
      </w:r>
    </w:p>
    <w:p w:rsidR="00C00D80" w:rsidP="00DB3C21">
      <w:pPr>
        <w:pStyle w:val="ListBullet"/>
      </w:pPr>
      <w:r w:rsidRPr="00DB3C21">
        <w:t>Assessment processes and techniques must be appropriate to the language, l</w:t>
      </w:r>
      <w:r w:rsidRPr="00DB3C21">
        <w:t>iteracy and numeracy requirements of the work being performed and the needs of the candidate.</w:t>
      </w:r>
    </w:p>
    <w:p w:rsidR="00C00D80" w:rsidP="00DB3C21">
      <w:pPr>
        <w:pStyle w:val="ListBullet"/>
      </w:pPr>
    </w:p>
    <w:p w:rsidR="00000000" w:rsidRPr="00DB3C21" w:rsidP="00DB3C21">
      <w:pPr>
        <w:pStyle w:val="Heading1"/>
      </w:pPr>
      <w:bookmarkStart w:id="5" w:name="O_953149"/>
      <w:bookmarkEnd w:id="5"/>
      <w:r w:rsidRPr="00DB3C21">
        <w:t>Links</w:t>
      </w:r>
    </w:p>
    <w:p w:rsidR="00000000" w:rsidRPr="00DB3C21" w:rsidP="00C00D80">
      <w:pPr>
        <w:pStyle w:val="BodyText"/>
      </w:pPr>
      <w:r w:rsidRPr="00DB3C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9753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B3C21" w:rsidP="00DB3C21"/>
    <w:sectPr w:rsidSect="00DB3C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C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C21" w:rsidRPr="00C00D80" w:rsidP="00C00D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C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D80" w:rsidP="00DB3C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0D80" w:rsidP="00DB3C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00D80" w:rsidP="00DB3C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C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D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3C21" w:rsidRPr="00C00D80" w:rsidP="00C00D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C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D80" w:rsidRPr="002D2AF8" w:rsidP="00DB3C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MEM15018 Investigate consumer complaints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00D80" w:rsidP="00DB3C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7A1F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B6C3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CEB4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3C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3C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3C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3C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3C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3C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3C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3C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3C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3C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3C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3C21"/>
  </w:style>
  <w:style w:type="character" w:customStyle="1" w:styleId="Heading1Char">
    <w:name w:val="Heading 1 Char"/>
    <w:basedOn w:val="DefaultParagraphFont"/>
    <w:link w:val="Heading1"/>
    <w:rsid w:val="00DB3C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3C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3C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3C2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B3C2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B3C21"/>
    <w:rPr>
      <w:i/>
    </w:rPr>
  </w:style>
  <w:style w:type="paragraph" w:customStyle="1" w:styleId="SuperHeading">
    <w:name w:val="SuperHeading"/>
    <w:basedOn w:val="Normal"/>
    <w:rsid w:val="00DB3C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3C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3C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3C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3C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3C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3C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3C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3C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3C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3C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3C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3C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3C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3C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3C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3C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3C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3C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3C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3C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3C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3C21"/>
    <w:rPr>
      <w:b/>
      <w:spacing w:val="0"/>
    </w:rPr>
  </w:style>
  <w:style w:type="paragraph" w:customStyle="1" w:styleId="SuperTitle">
    <w:name w:val="SuperTitle"/>
    <w:basedOn w:val="Title"/>
    <w:rsid w:val="00DB3C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3C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3C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3C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3C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3C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3C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3C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3C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3C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3C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3C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3C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3C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3C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3C21"/>
  </w:style>
  <w:style w:type="paragraph" w:styleId="TableofFigures">
    <w:name w:val="table of figures"/>
    <w:basedOn w:val="Normal"/>
    <w:next w:val="Normal"/>
    <w:semiHidden/>
    <w:rsid w:val="00DB3C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3C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3C21"/>
    <w:rPr>
      <w:rFonts w:ascii="Wingdings" w:hAnsi="Wingdings"/>
    </w:rPr>
  </w:style>
  <w:style w:type="paragraph" w:customStyle="1" w:styleId="TableHeading">
    <w:name w:val="Table Heading"/>
    <w:basedOn w:val="HeadingBase"/>
    <w:rsid w:val="00DB3C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3C21"/>
    <w:rPr>
      <w:color w:val="0033CC"/>
      <w:u w:val="none"/>
    </w:rPr>
  </w:style>
  <w:style w:type="paragraph" w:customStyle="1" w:styleId="BodyTextRight">
    <w:name w:val="Body Text Right"/>
    <w:basedOn w:val="BodyText"/>
    <w:rsid w:val="00DB3C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3C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3C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3C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3C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3C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3C21"/>
    <w:rPr>
      <w:sz w:val="32"/>
    </w:rPr>
  </w:style>
  <w:style w:type="paragraph" w:customStyle="1" w:styleId="HeadingProcedure">
    <w:name w:val="Heading Procedure"/>
    <w:basedOn w:val="HeadingBase"/>
    <w:next w:val="Normal"/>
    <w:rsid w:val="00DB3C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3C21"/>
    <w:pPr>
      <w:spacing w:before="60" w:after="60"/>
    </w:pPr>
  </w:style>
  <w:style w:type="paragraph" w:styleId="ListContinue">
    <w:name w:val="List Continue"/>
    <w:basedOn w:val="List"/>
    <w:rsid w:val="00DB3C21"/>
    <w:pPr>
      <w:ind w:firstLine="0"/>
    </w:pPr>
  </w:style>
  <w:style w:type="paragraph" w:customStyle="1" w:styleId="ListNote">
    <w:name w:val="List Note"/>
    <w:basedOn w:val="List"/>
    <w:rsid w:val="00DB3C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3C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3C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3C21"/>
    <w:rPr>
      <w:rFonts w:ascii="Courier New" w:hAnsi="Courier New"/>
    </w:rPr>
  </w:style>
  <w:style w:type="paragraph" w:customStyle="1" w:styleId="NoteBullet">
    <w:name w:val="Note Bullet"/>
    <w:basedOn w:val="Note"/>
    <w:rsid w:val="00DB3C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3C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3C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3C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3C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3C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3C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3C21"/>
    <w:rPr>
      <w:b/>
      <w:smallCaps/>
    </w:rPr>
  </w:style>
  <w:style w:type="paragraph" w:customStyle="1" w:styleId="TableListNumber">
    <w:name w:val="Table List Number"/>
    <w:basedOn w:val="ListNumber"/>
    <w:rsid w:val="00DB3C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3C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3C21"/>
    <w:pPr>
      <w:numPr>
        <w:numId w:val="9"/>
      </w:numPr>
    </w:pPr>
  </w:style>
  <w:style w:type="paragraph" w:customStyle="1" w:styleId="ListAlpha2">
    <w:name w:val="List Alpha 2"/>
    <w:basedOn w:val="List2"/>
    <w:rsid w:val="00DB3C21"/>
    <w:pPr>
      <w:numPr>
        <w:numId w:val="8"/>
      </w:numPr>
    </w:pPr>
  </w:style>
  <w:style w:type="paragraph" w:styleId="List2">
    <w:name w:val="List 2"/>
    <w:basedOn w:val="BodyText"/>
    <w:rsid w:val="00DB3C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3C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3C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3C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3C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3C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3C21"/>
    <w:pPr>
      <w:numPr>
        <w:numId w:val="4"/>
      </w:numPr>
    </w:pPr>
  </w:style>
  <w:style w:type="paragraph" w:styleId="ListContinue2">
    <w:name w:val="List Continue 2"/>
    <w:basedOn w:val="List2"/>
    <w:rsid w:val="00DB3C21"/>
    <w:pPr>
      <w:ind w:firstLine="0"/>
    </w:pPr>
  </w:style>
  <w:style w:type="paragraph" w:styleId="ListContinue3">
    <w:name w:val="List Continue 3"/>
    <w:basedOn w:val="List3"/>
    <w:rsid w:val="00DB3C21"/>
    <w:pPr>
      <w:ind w:left="1021" w:firstLine="0"/>
    </w:pPr>
  </w:style>
  <w:style w:type="paragraph" w:styleId="ListContinue4">
    <w:name w:val="List Continue 4"/>
    <w:basedOn w:val="List4"/>
    <w:rsid w:val="00DB3C21"/>
    <w:pPr>
      <w:ind w:firstLine="0"/>
    </w:pPr>
  </w:style>
  <w:style w:type="paragraph" w:styleId="ListContinue5">
    <w:name w:val="List Continue 5"/>
    <w:basedOn w:val="List5"/>
    <w:rsid w:val="00DB3C21"/>
    <w:pPr>
      <w:ind w:firstLine="0"/>
    </w:pPr>
  </w:style>
  <w:style w:type="paragraph" w:styleId="ListNumber3">
    <w:name w:val="List Number 3"/>
    <w:basedOn w:val="List3"/>
    <w:rsid w:val="00DB3C21"/>
    <w:pPr>
      <w:numPr>
        <w:numId w:val="5"/>
      </w:numPr>
    </w:pPr>
  </w:style>
  <w:style w:type="paragraph" w:styleId="ListNumber4">
    <w:name w:val="List Number 4"/>
    <w:basedOn w:val="List4"/>
    <w:rsid w:val="00DB3C21"/>
    <w:pPr>
      <w:numPr>
        <w:numId w:val="6"/>
      </w:numPr>
    </w:pPr>
  </w:style>
  <w:style w:type="paragraph" w:styleId="ListNumber5">
    <w:name w:val="List Number 5"/>
    <w:basedOn w:val="List5"/>
    <w:rsid w:val="00DB3C21"/>
    <w:pPr>
      <w:numPr>
        <w:numId w:val="7"/>
      </w:numPr>
    </w:pPr>
  </w:style>
  <w:style w:type="paragraph" w:styleId="BlockText">
    <w:name w:val="Block Text"/>
    <w:basedOn w:val="Normal"/>
    <w:rsid w:val="00DB3C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3C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3C21"/>
    <w:rPr>
      <w:sz w:val="16"/>
      <w:vertAlign w:val="superscript"/>
    </w:rPr>
  </w:style>
  <w:style w:type="character" w:customStyle="1" w:styleId="Symbols">
    <w:name w:val="Symbols"/>
    <w:basedOn w:val="DefaultParagraphFont"/>
    <w:rsid w:val="00DB3C21"/>
    <w:rPr>
      <w:rFonts w:ascii="Symbol" w:hAnsi="Symbol"/>
    </w:rPr>
  </w:style>
  <w:style w:type="character" w:customStyle="1" w:styleId="MenuOptions">
    <w:name w:val="Menu Options"/>
    <w:basedOn w:val="DefaultParagraphFont"/>
    <w:rsid w:val="00DB3C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3C21"/>
    <w:rPr>
      <w:b/>
    </w:rPr>
  </w:style>
  <w:style w:type="character" w:customStyle="1" w:styleId="Underlined">
    <w:name w:val="Underlined"/>
    <w:basedOn w:val="DefaultParagraphFont"/>
    <w:rsid w:val="00DB3C21"/>
    <w:rPr>
      <w:u w:val="single"/>
    </w:rPr>
  </w:style>
  <w:style w:type="paragraph" w:customStyle="1" w:styleId="TableBodyTextRight">
    <w:name w:val="Table Body Text Right"/>
    <w:basedOn w:val="TableBodyText"/>
    <w:rsid w:val="00DB3C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3C21"/>
    <w:rPr>
      <w:sz w:val="18"/>
    </w:rPr>
  </w:style>
  <w:style w:type="paragraph" w:customStyle="1" w:styleId="BodySmallRight">
    <w:name w:val="Body Small Right"/>
    <w:basedOn w:val="BodyTextRight"/>
    <w:rsid w:val="00DB3C21"/>
    <w:rPr>
      <w:sz w:val="18"/>
      <w:szCs w:val="18"/>
    </w:rPr>
  </w:style>
  <w:style w:type="paragraph" w:customStyle="1" w:styleId="MarginEdition">
    <w:name w:val="Margin Edition"/>
    <w:basedOn w:val="MarginNote"/>
    <w:rsid w:val="00DB3C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3C21"/>
    <w:rPr>
      <w:sz w:val="2"/>
      <w:szCs w:val="2"/>
    </w:rPr>
  </w:style>
  <w:style w:type="character" w:customStyle="1" w:styleId="Small">
    <w:name w:val="Small"/>
    <w:basedOn w:val="DefaultParagraphFont"/>
    <w:rsid w:val="00DB3C21"/>
    <w:rPr>
      <w:sz w:val="16"/>
    </w:rPr>
  </w:style>
  <w:style w:type="paragraph" w:customStyle="1" w:styleId="WideTable">
    <w:name w:val="Wide Table"/>
    <w:basedOn w:val="Normal"/>
    <w:rsid w:val="00DB3C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3C21"/>
  </w:style>
  <w:style w:type="paragraph" w:styleId="Quote">
    <w:name w:val="Quote"/>
    <w:basedOn w:val="Heading1"/>
    <w:link w:val="QuoteChar"/>
    <w:qFormat/>
    <w:rsid w:val="00DB3C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3C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3C21"/>
    <w:pPr>
      <w:pageBreakBefore/>
    </w:pPr>
  </w:style>
  <w:style w:type="paragraph" w:customStyle="1" w:styleId="Border">
    <w:name w:val="Border"/>
    <w:basedOn w:val="Normal"/>
    <w:qFormat/>
    <w:rsid w:val="00DB3C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3C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3C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3C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3C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3C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3C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3C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3C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3C21"/>
    <w:rPr>
      <w:u w:val="single"/>
    </w:rPr>
  </w:style>
  <w:style w:type="character" w:customStyle="1" w:styleId="BoldandItalics">
    <w:name w:val="Bold and Italics"/>
    <w:qFormat/>
    <w:rsid w:val="00DB3C21"/>
    <w:rPr>
      <w:b/>
      <w:i/>
      <w:u w:val="none"/>
    </w:rPr>
  </w:style>
  <w:style w:type="paragraph" w:styleId="BalloonText">
    <w:name w:val="Balloon Text"/>
    <w:basedOn w:val="Normal"/>
    <w:link w:val="BalloonTextChar"/>
    <w:rsid w:val="00DB3C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3C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3C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3C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3C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3C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3C21"/>
    <w:pPr>
      <w:spacing w:before="0" w:after="0"/>
    </w:pPr>
  </w:style>
  <w:style w:type="paragraph" w:customStyle="1" w:styleId="BodyTextBold">
    <w:name w:val="Body Text Bold"/>
    <w:basedOn w:val="BodyText"/>
    <w:qFormat/>
    <w:rsid w:val="00DB3C21"/>
    <w:rPr>
      <w:b/>
    </w:rPr>
  </w:style>
  <w:style w:type="character" w:styleId="Hyperlink">
    <w:name w:val="Hyperlink"/>
    <w:basedOn w:val="DefaultParagraphFont"/>
    <w:uiPriority w:val="99"/>
    <w:unhideWhenUsed/>
    <w:rsid w:val="00C00D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526</Words>
  <Characters>3652</Characters>
  <Application>Microsoft Office Word</Application>
  <DocSecurity>0</DocSecurity>
  <Lines>79</Lines>
  <Paragraphs>52</Paragraphs>
  <ScaleCrop>false</ScaleCrop>
  <Company>Author-it Software Corporation Ltd.</Company>
  <LinksUpToDate>false</LinksUpToDate>
  <CharactersWithSpaces>4126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MEM15018 Investigate consumer complaints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2023-02-03T07:02:00Z</dcterms:created>
  <dcterms:modified xsi:type="dcterms:W3CDTF">2023-02-03T07:03:00Z</dcterms:modified>
</cp:coreProperties>
</file>