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CD0" w:rsidP="00D90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MEM15015 Examine trading practices</w:t>
      </w:r>
      <w:r>
        <w:fldChar w:fldCharType="end"/>
      </w:r>
    </w:p>
    <w:p w:rsidR="00D90CD0" w:rsidP="00D90CD0">
      <w:pPr>
        <w:pStyle w:val="Version"/>
        <w:sectPr w:rsidSect="00130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E77" w:rsidP="00130E77">
      <w:pPr>
        <w:pStyle w:val="SuperHeading"/>
      </w:pPr>
      <w:r w:rsidRPr="00130E77">
        <w:t>Assessment Requirements for MEM15015 Examine trading practices</w:t>
      </w:r>
    </w:p>
    <w:p w:rsidR="00000000" w:rsidRPr="00130E77" w:rsidP="00130E77">
      <w:pPr>
        <w:pStyle w:val="Heading1"/>
      </w:pPr>
      <w:bookmarkStart w:id="1" w:name="O_953093"/>
      <w:bookmarkEnd w:id="1"/>
      <w:r w:rsidRPr="00130E77">
        <w:t>Modification History</w:t>
      </w:r>
    </w:p>
    <w:p w:rsidR="00D90CD0" w:rsidP="00D90CD0">
      <w:pPr>
        <w:pStyle w:val="BodyText"/>
      </w:pPr>
      <w:r w:rsidRPr="00130E77">
        <w:t>Release 1. Supersedes and is equivalent to MEM15015B Examine trading practices.</w:t>
      </w:r>
    </w:p>
    <w:p w:rsidR="00000000" w:rsidRPr="00130E77" w:rsidP="00130E77">
      <w:pPr>
        <w:pStyle w:val="Heading1"/>
      </w:pPr>
      <w:bookmarkStart w:id="2" w:name="O_953096"/>
      <w:bookmarkEnd w:id="2"/>
      <w:r w:rsidRPr="00130E77">
        <w:t>Performance Evidence</w:t>
      </w:r>
    </w:p>
    <w:p w:rsidR="00000000" w:rsidRPr="00130E77" w:rsidP="00D90CD0">
      <w:pPr>
        <w:pStyle w:val="BodyText"/>
      </w:pPr>
      <w:r w:rsidRPr="00130E77">
        <w:t>Evidence required to demonstrate competence in this unit must be relevant to and satisfy the requirements of the elements and performance criteria and include:</w:t>
      </w:r>
    </w:p>
    <w:p w:rsidR="00000000" w:rsidRPr="00130E77" w:rsidP="00130E77">
      <w:pPr>
        <w:pStyle w:val="ListBullet"/>
      </w:pPr>
      <w:r w:rsidRPr="00130E77">
        <w:t xml:space="preserve">following work instructions, standard operating procedures (SOPs) and safe work practices </w:t>
      </w:r>
    </w:p>
    <w:p w:rsidR="00000000" w:rsidRPr="00130E77" w:rsidP="00130E77">
      <w:pPr>
        <w:pStyle w:val="ListBullet"/>
      </w:pPr>
      <w:r w:rsidRPr="00130E77">
        <w:t>appl</w:t>
      </w:r>
      <w:r w:rsidRPr="00130E77">
        <w:t xml:space="preserve">ying relevant organisational policy and procedures in regard to trading practices </w:t>
      </w:r>
    </w:p>
    <w:p w:rsidR="00000000" w:rsidRPr="00130E77" w:rsidP="00130E77">
      <w:pPr>
        <w:pStyle w:val="ListBullet"/>
      </w:pPr>
      <w:r w:rsidRPr="00130E77">
        <w:t xml:space="preserve">examining methods for advertising and sale of goods employed on the premises for compliance with legislative requirements and policy guidelines </w:t>
      </w:r>
    </w:p>
    <w:p w:rsidR="00000000" w:rsidRPr="00130E77" w:rsidP="00130E77">
      <w:pPr>
        <w:pStyle w:val="ListBullet"/>
      </w:pPr>
      <w:r w:rsidRPr="00130E77">
        <w:t>examining the manner in whic</w:t>
      </w:r>
      <w:r w:rsidRPr="00130E77">
        <w:t>h a measuring instrument is used on the premises for compliance on at least two occasions</w:t>
      </w:r>
    </w:p>
    <w:p w:rsidR="00000000" w:rsidRPr="00130E77" w:rsidP="00130E77">
      <w:pPr>
        <w:pStyle w:val="ListBullet"/>
      </w:pPr>
      <w:r w:rsidRPr="00130E77">
        <w:t>identifying incidents of non-compliance in trading environments</w:t>
      </w:r>
    </w:p>
    <w:p w:rsidR="00000000" w:rsidRPr="00130E77" w:rsidP="00130E77">
      <w:pPr>
        <w:pStyle w:val="ListBullet"/>
      </w:pPr>
      <w:r w:rsidRPr="00130E77">
        <w:t xml:space="preserve">determining action to be undertaken based on organisation’s enforcement policy </w:t>
      </w:r>
    </w:p>
    <w:p w:rsidR="00000000" w:rsidRPr="00130E77" w:rsidP="00130E77">
      <w:pPr>
        <w:pStyle w:val="ListBullet"/>
      </w:pPr>
      <w:r w:rsidRPr="00130E77">
        <w:t>gathering sufficient e</w:t>
      </w:r>
      <w:r w:rsidRPr="00130E77">
        <w:t>vidence to prove a breach of legislation</w:t>
      </w:r>
    </w:p>
    <w:p w:rsidR="00000000" w:rsidRPr="00130E77" w:rsidP="00130E77">
      <w:pPr>
        <w:pStyle w:val="ListBullet"/>
      </w:pPr>
      <w:r w:rsidRPr="00130E77">
        <w:t>determining appropriate action to encourage compliance on at least two occasions</w:t>
      </w:r>
    </w:p>
    <w:p w:rsidR="00000000" w:rsidRPr="00130E77" w:rsidP="00130E77">
      <w:pPr>
        <w:pStyle w:val="ListBullet"/>
      </w:pPr>
      <w:r w:rsidRPr="00130E77">
        <w:t>planning follow-up activities and completing breach reports in accordance with organisational guidelines</w:t>
      </w:r>
    </w:p>
    <w:p w:rsidR="00000000" w:rsidRPr="00130E77" w:rsidP="00130E77">
      <w:pPr>
        <w:pStyle w:val="ListBullet"/>
      </w:pPr>
      <w:r w:rsidRPr="00130E77">
        <w:t>recording results of the insp</w:t>
      </w:r>
      <w:r w:rsidRPr="00130E77">
        <w:t>ection in organisation’s information files.</w:t>
      </w:r>
    </w:p>
    <w:p w:rsidR="00000000" w:rsidRPr="00130E77" w:rsidP="00130E77">
      <w:pPr>
        <w:pStyle w:val="BodyText"/>
      </w:pPr>
    </w:p>
    <w:p w:rsidR="00D90CD0" w:rsidRPr="00D90CD0" w:rsidP="00D90CD0">
      <w:pPr>
        <w:pStyle w:val="BodyText"/>
        <w:rPr>
          <w:i/>
        </w:rPr>
      </w:pPr>
      <w:r w:rsidRPr="00D90CD0">
        <w:rPr>
          <w:rStyle w:val="Emphasis"/>
        </w:rPr>
        <w:t>Note: Where a volume and/or frequency is not specified, demonstration must be provided at least once.</w:t>
      </w:r>
    </w:p>
    <w:p w:rsidR="00000000" w:rsidRPr="00130E77" w:rsidP="00130E77">
      <w:pPr>
        <w:pStyle w:val="Heading1"/>
      </w:pPr>
      <w:bookmarkStart w:id="3" w:name="O_953095"/>
      <w:bookmarkEnd w:id="3"/>
      <w:r w:rsidRPr="00130E77">
        <w:t>Knowledge Evidence</w:t>
      </w:r>
    </w:p>
    <w:p w:rsidR="00000000" w:rsidRPr="00130E77" w:rsidP="00D90CD0">
      <w:pPr>
        <w:pStyle w:val="BodyText"/>
      </w:pPr>
      <w:r w:rsidRPr="00130E77">
        <w:t>Evidence required to demonstrate the required knowledge for this unit must be relevant to and satisfy the requirements of the elements and performance criteria and include knowledge of:</w:t>
      </w:r>
    </w:p>
    <w:p w:rsidR="00000000" w:rsidRPr="00130E77" w:rsidP="00130E77">
      <w:pPr>
        <w:pStyle w:val="ListBullet"/>
      </w:pPr>
      <w:r w:rsidRPr="00130E77">
        <w:t xml:space="preserve">safe work practices and procedures </w:t>
      </w:r>
    </w:p>
    <w:p w:rsidR="00000000" w:rsidRPr="00130E77" w:rsidP="00130E77">
      <w:pPr>
        <w:pStyle w:val="ListBullet"/>
      </w:pPr>
      <w:r w:rsidRPr="00130E77">
        <w:t>definition of the term ‘trading p</w:t>
      </w:r>
      <w:r w:rsidRPr="00130E77">
        <w:t>ractices’</w:t>
      </w:r>
    </w:p>
    <w:p w:rsidR="00000000" w:rsidRPr="00130E77" w:rsidP="00130E77">
      <w:pPr>
        <w:pStyle w:val="ListBullet"/>
      </w:pPr>
      <w:r w:rsidRPr="00130E77">
        <w:t>types of trading environments</w:t>
      </w:r>
    </w:p>
    <w:p w:rsidR="00000000" w:rsidRPr="00130E77" w:rsidP="00130E77">
      <w:pPr>
        <w:pStyle w:val="ListBullet"/>
      </w:pPr>
      <w:r w:rsidRPr="00130E77">
        <w:t>policy and procedures for different trading environments</w:t>
      </w:r>
    </w:p>
    <w:p w:rsidR="00000000" w:rsidRPr="00130E77" w:rsidP="00130E77">
      <w:pPr>
        <w:pStyle w:val="ListBullet"/>
      </w:pPr>
      <w:r w:rsidRPr="00130E77">
        <w:t>legislation relating to trading practices</w:t>
      </w:r>
    </w:p>
    <w:p w:rsidR="00000000" w:rsidRPr="00130E77" w:rsidP="00130E77">
      <w:pPr>
        <w:pStyle w:val="ListBullet"/>
      </w:pPr>
      <w:r w:rsidRPr="00130E77">
        <w:t>trade practices relevant to different business types</w:t>
      </w:r>
    </w:p>
    <w:p w:rsidR="00000000" w:rsidRPr="00130E77" w:rsidP="00130E77">
      <w:pPr>
        <w:pStyle w:val="ListBullet"/>
      </w:pPr>
      <w:r w:rsidRPr="00130E77">
        <w:t>processes for evidence collection and evidence handling</w:t>
      </w:r>
    </w:p>
    <w:p w:rsidR="00000000" w:rsidRPr="00130E77" w:rsidP="00130E77">
      <w:pPr>
        <w:pStyle w:val="ListBullet"/>
      </w:pPr>
      <w:r w:rsidRPr="00130E77">
        <w:t>specific</w:t>
      </w:r>
      <w:r w:rsidRPr="00130E77">
        <w:t xml:space="preserve"> reporting procedures</w:t>
      </w:r>
    </w:p>
    <w:p w:rsidR="00000000" w:rsidRPr="00130E77" w:rsidP="00130E77">
      <w:pPr>
        <w:pStyle w:val="ListBullet"/>
      </w:pPr>
      <w:r w:rsidRPr="00130E77">
        <w:t>techniques to liaise with traders</w:t>
      </w:r>
    </w:p>
    <w:p w:rsidR="00000000" w:rsidRPr="00130E77" w:rsidP="00130E77">
      <w:pPr>
        <w:pStyle w:val="ListBullet"/>
      </w:pPr>
      <w:r w:rsidRPr="00130E77">
        <w:t>legislative requirements and obligations for the issuing of notices</w:t>
      </w:r>
    </w:p>
    <w:p w:rsidR="00000000" w:rsidRPr="00130E77" w:rsidP="00130E77">
      <w:pPr>
        <w:pStyle w:val="ListBullet"/>
      </w:pPr>
      <w:r w:rsidRPr="00130E77">
        <w:t>organisation</w:t>
      </w:r>
      <w:r>
        <w:t>’</w:t>
      </w:r>
      <w:r w:rsidRPr="00130E77">
        <w:t>s policy guidelines for return visits</w:t>
      </w:r>
    </w:p>
    <w:p w:rsidR="00000000" w:rsidRPr="00130E77" w:rsidP="00130E77">
      <w:pPr>
        <w:pStyle w:val="ListBullet"/>
      </w:pPr>
      <w:r w:rsidRPr="00130E77">
        <w:t>specific reporting procedures</w:t>
      </w:r>
    </w:p>
    <w:p w:rsidR="00D90CD0" w:rsidP="00130E77">
      <w:pPr>
        <w:pStyle w:val="ListBullet"/>
      </w:pPr>
      <w:r w:rsidRPr="00130E77">
        <w:t>types of evidence.</w:t>
      </w:r>
    </w:p>
    <w:p w:rsidR="00D90CD0" w:rsidP="00130E77">
      <w:pPr>
        <w:pStyle w:val="ListBullet"/>
      </w:pPr>
    </w:p>
    <w:p w:rsidR="00000000" w:rsidRPr="00130E77" w:rsidP="00130E77">
      <w:pPr>
        <w:pStyle w:val="Heading1"/>
      </w:pPr>
      <w:bookmarkStart w:id="4" w:name="O_953094"/>
      <w:bookmarkEnd w:id="4"/>
      <w:r w:rsidRPr="00130E77">
        <w:t>Assessment Con</w:t>
      </w:r>
      <w:r w:rsidRPr="00130E77">
        <w:t>ditions</w:t>
      </w:r>
    </w:p>
    <w:p w:rsidR="00000000" w:rsidRPr="00130E77" w:rsidP="00130E77">
      <w:pPr>
        <w:pStyle w:val="ListBullet"/>
      </w:pPr>
      <w:r w:rsidRPr="00130E77">
        <w:t>Assessors must:</w:t>
      </w:r>
    </w:p>
    <w:p w:rsidR="00000000" w:rsidRPr="00130E77" w:rsidP="00130E77">
      <w:pPr>
        <w:pStyle w:val="ListBullet2"/>
      </w:pPr>
      <w:r w:rsidRPr="00130E77">
        <w:t>have vocational competency in examining trading practices at least to the level being assessed with relevant industry knowledge and experience</w:t>
      </w:r>
    </w:p>
    <w:p w:rsidR="00000000" w:rsidRPr="00130E77" w:rsidP="00130E77">
      <w:pPr>
        <w:pStyle w:val="ListBullet2"/>
      </w:pPr>
      <w:r w:rsidRPr="00130E77">
        <w:t xml:space="preserve">satisfy the assessor requirements in the </w:t>
      </w:r>
      <w:r w:rsidRPr="00130E77">
        <w:rPr>
          <w:rStyle w:val="Emphasis"/>
        </w:rPr>
        <w:t xml:space="preserve">Standards for Registered Training Organisations 2015 </w:t>
      </w:r>
      <w:r w:rsidRPr="00130E77">
        <w:t>or its replacement</w:t>
      </w:r>
      <w:r w:rsidRPr="00130E77">
        <w:rPr>
          <w:rStyle w:val="Emphasis"/>
        </w:rPr>
        <w:t xml:space="preserve"> </w:t>
      </w:r>
      <w:r w:rsidRPr="00130E77">
        <w:t xml:space="preserve">and comply with the </w:t>
      </w:r>
      <w:r w:rsidRPr="00130E77">
        <w:rPr>
          <w:rStyle w:val="Emphasis"/>
        </w:rPr>
        <w:t xml:space="preserve">National Vocational Education and Training Regulator Act 2011, </w:t>
      </w:r>
      <w:r w:rsidRPr="00130E77">
        <w:t>its replacement</w:t>
      </w:r>
      <w:r w:rsidRPr="00130E77">
        <w:rPr>
          <w:rStyle w:val="Emphasis"/>
        </w:rPr>
        <w:t xml:space="preserve"> </w:t>
      </w:r>
      <w:r w:rsidRPr="00130E77">
        <w:t xml:space="preserve">or equivalent legislation covering VET regulation in a non-referring state/territory </w:t>
      </w:r>
      <w:r w:rsidRPr="00130E77">
        <w:t>as the case requires.</w:t>
      </w:r>
    </w:p>
    <w:p w:rsidR="00000000" w:rsidRPr="00130E77" w:rsidP="00130E77">
      <w:pPr>
        <w:pStyle w:val="ListBullet"/>
      </w:pPr>
      <w:r w:rsidRPr="00130E77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130E77">
        <w:t>nvironment that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130E77" w:rsidP="00130E77">
      <w:pPr>
        <w:pStyle w:val="ListBullet"/>
      </w:pPr>
      <w:r w:rsidRPr="00130E77">
        <w:t>Conditions</w:t>
      </w:r>
      <w:r w:rsidRPr="00130E77">
        <w:t xml:space="preserve"> for assessment must include access to all tools, equipment, materials and documentation required, including relevant workplace procedures, product and manufacturing specifications.</w:t>
      </w:r>
    </w:p>
    <w:p w:rsidR="00D90CD0" w:rsidP="00130E77">
      <w:pPr>
        <w:pStyle w:val="ListBullet"/>
      </w:pPr>
      <w:r w:rsidRPr="00130E77">
        <w:t>Assessment processes and techniques must be appropriate to the language, l</w:t>
      </w:r>
      <w:r w:rsidRPr="00130E77">
        <w:t>iteracy and numeracy requirements of the work being performed and the needs of the candidate.</w:t>
      </w:r>
    </w:p>
    <w:p w:rsidR="00D90CD0" w:rsidP="00130E77">
      <w:pPr>
        <w:pStyle w:val="ListBullet"/>
      </w:pPr>
    </w:p>
    <w:p w:rsidR="00000000" w:rsidRPr="00130E77" w:rsidP="00130E77">
      <w:pPr>
        <w:pStyle w:val="Heading1"/>
      </w:pPr>
      <w:bookmarkStart w:id="5" w:name="O_953092"/>
      <w:bookmarkEnd w:id="5"/>
      <w:r w:rsidRPr="00130E77">
        <w:t>Links</w:t>
      </w:r>
    </w:p>
    <w:p w:rsidR="00000000" w:rsidRPr="00130E77" w:rsidP="00D90CD0">
      <w:pPr>
        <w:pStyle w:val="BodyText"/>
      </w:pPr>
      <w:r w:rsidRPr="00130E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67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30E77" w:rsidP="00130E77"/>
    <w:sectPr w:rsidSect="00130E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77" w:rsidRPr="00D90CD0" w:rsidP="00D90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CD0" w:rsidP="00130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0CD0" w:rsidP="00130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0CD0" w:rsidP="00130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E77" w:rsidRPr="00D90CD0" w:rsidP="00D90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CD0" w:rsidRPr="002D2AF8" w:rsidP="00130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MEM15015 Examine trading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90CD0" w:rsidP="00130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783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D8E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103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E77"/>
  </w:style>
  <w:style w:type="character" w:customStyle="1" w:styleId="Heading1Char">
    <w:name w:val="Heading 1 Char"/>
    <w:basedOn w:val="DefaultParagraphFont"/>
    <w:link w:val="Heading1"/>
    <w:rsid w:val="00130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E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E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0E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0E77"/>
    <w:rPr>
      <w:i/>
    </w:rPr>
  </w:style>
  <w:style w:type="paragraph" w:customStyle="1" w:styleId="SuperHeading">
    <w:name w:val="SuperHeading"/>
    <w:basedOn w:val="Normal"/>
    <w:rsid w:val="00130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E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E77"/>
    <w:rPr>
      <w:b/>
      <w:spacing w:val="0"/>
    </w:rPr>
  </w:style>
  <w:style w:type="paragraph" w:customStyle="1" w:styleId="SuperTitle">
    <w:name w:val="SuperTitle"/>
    <w:basedOn w:val="Title"/>
    <w:rsid w:val="00130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E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E77"/>
  </w:style>
  <w:style w:type="paragraph" w:styleId="TableofFigures">
    <w:name w:val="table of figures"/>
    <w:basedOn w:val="Normal"/>
    <w:next w:val="Normal"/>
    <w:semiHidden/>
    <w:rsid w:val="00130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E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0E77"/>
    <w:rPr>
      <w:rFonts w:ascii="Wingdings" w:hAnsi="Wingdings"/>
    </w:rPr>
  </w:style>
  <w:style w:type="paragraph" w:customStyle="1" w:styleId="TableHeading">
    <w:name w:val="Table Heading"/>
    <w:basedOn w:val="HeadingBase"/>
    <w:rsid w:val="00130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E77"/>
    <w:rPr>
      <w:color w:val="0033CC"/>
      <w:u w:val="none"/>
    </w:rPr>
  </w:style>
  <w:style w:type="paragraph" w:customStyle="1" w:styleId="BodyTextRight">
    <w:name w:val="Body Text Right"/>
    <w:basedOn w:val="BodyText"/>
    <w:rsid w:val="00130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E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E77"/>
    <w:rPr>
      <w:sz w:val="32"/>
    </w:rPr>
  </w:style>
  <w:style w:type="paragraph" w:customStyle="1" w:styleId="HeadingProcedure">
    <w:name w:val="Heading Procedure"/>
    <w:basedOn w:val="HeadingBase"/>
    <w:next w:val="Normal"/>
    <w:rsid w:val="00130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E77"/>
    <w:pPr>
      <w:spacing w:before="60" w:after="60"/>
    </w:pPr>
  </w:style>
  <w:style w:type="paragraph" w:styleId="ListContinue">
    <w:name w:val="List Continue"/>
    <w:basedOn w:val="List"/>
    <w:rsid w:val="00130E77"/>
    <w:pPr>
      <w:ind w:firstLine="0"/>
    </w:pPr>
  </w:style>
  <w:style w:type="paragraph" w:customStyle="1" w:styleId="ListNote">
    <w:name w:val="List Note"/>
    <w:basedOn w:val="List"/>
    <w:rsid w:val="00130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E77"/>
    <w:rPr>
      <w:rFonts w:ascii="Courier New" w:hAnsi="Courier New"/>
    </w:rPr>
  </w:style>
  <w:style w:type="paragraph" w:customStyle="1" w:styleId="NoteBullet">
    <w:name w:val="Note Bullet"/>
    <w:basedOn w:val="Note"/>
    <w:rsid w:val="00130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E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E77"/>
    <w:rPr>
      <w:b/>
      <w:smallCaps/>
    </w:rPr>
  </w:style>
  <w:style w:type="paragraph" w:customStyle="1" w:styleId="TableListNumber">
    <w:name w:val="Table List Number"/>
    <w:basedOn w:val="ListNumber"/>
    <w:rsid w:val="00130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E77"/>
    <w:pPr>
      <w:numPr>
        <w:numId w:val="9"/>
      </w:numPr>
    </w:pPr>
  </w:style>
  <w:style w:type="paragraph" w:customStyle="1" w:styleId="ListAlpha2">
    <w:name w:val="List Alpha 2"/>
    <w:basedOn w:val="List2"/>
    <w:rsid w:val="00130E77"/>
    <w:pPr>
      <w:numPr>
        <w:numId w:val="8"/>
      </w:numPr>
    </w:pPr>
  </w:style>
  <w:style w:type="paragraph" w:styleId="List2">
    <w:name w:val="List 2"/>
    <w:basedOn w:val="BodyText"/>
    <w:rsid w:val="00130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E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E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0E77"/>
    <w:pPr>
      <w:numPr>
        <w:numId w:val="4"/>
      </w:numPr>
    </w:pPr>
  </w:style>
  <w:style w:type="paragraph" w:styleId="ListContinue2">
    <w:name w:val="List Continue 2"/>
    <w:basedOn w:val="List2"/>
    <w:rsid w:val="00130E77"/>
    <w:pPr>
      <w:ind w:firstLine="0"/>
    </w:pPr>
  </w:style>
  <w:style w:type="paragraph" w:styleId="ListContinue3">
    <w:name w:val="List Continue 3"/>
    <w:basedOn w:val="List3"/>
    <w:rsid w:val="00130E77"/>
    <w:pPr>
      <w:ind w:left="1021" w:firstLine="0"/>
    </w:pPr>
  </w:style>
  <w:style w:type="paragraph" w:styleId="ListContinue4">
    <w:name w:val="List Continue 4"/>
    <w:basedOn w:val="List4"/>
    <w:rsid w:val="00130E77"/>
    <w:pPr>
      <w:ind w:firstLine="0"/>
    </w:pPr>
  </w:style>
  <w:style w:type="paragraph" w:styleId="ListContinue5">
    <w:name w:val="List Continue 5"/>
    <w:basedOn w:val="List5"/>
    <w:rsid w:val="00130E77"/>
    <w:pPr>
      <w:ind w:firstLine="0"/>
    </w:pPr>
  </w:style>
  <w:style w:type="paragraph" w:styleId="ListNumber3">
    <w:name w:val="List Number 3"/>
    <w:basedOn w:val="List3"/>
    <w:rsid w:val="00130E77"/>
    <w:pPr>
      <w:numPr>
        <w:numId w:val="5"/>
      </w:numPr>
    </w:pPr>
  </w:style>
  <w:style w:type="paragraph" w:styleId="ListNumber4">
    <w:name w:val="List Number 4"/>
    <w:basedOn w:val="List4"/>
    <w:rsid w:val="00130E77"/>
    <w:pPr>
      <w:numPr>
        <w:numId w:val="6"/>
      </w:numPr>
    </w:pPr>
  </w:style>
  <w:style w:type="paragraph" w:styleId="ListNumber5">
    <w:name w:val="List Number 5"/>
    <w:basedOn w:val="List5"/>
    <w:rsid w:val="00130E77"/>
    <w:pPr>
      <w:numPr>
        <w:numId w:val="7"/>
      </w:numPr>
    </w:pPr>
  </w:style>
  <w:style w:type="paragraph" w:styleId="BlockText">
    <w:name w:val="Block Text"/>
    <w:basedOn w:val="Normal"/>
    <w:rsid w:val="00130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E77"/>
    <w:rPr>
      <w:sz w:val="16"/>
      <w:vertAlign w:val="superscript"/>
    </w:rPr>
  </w:style>
  <w:style w:type="character" w:customStyle="1" w:styleId="Symbols">
    <w:name w:val="Symbols"/>
    <w:basedOn w:val="DefaultParagraphFont"/>
    <w:rsid w:val="00130E77"/>
    <w:rPr>
      <w:rFonts w:ascii="Symbol" w:hAnsi="Symbol"/>
    </w:rPr>
  </w:style>
  <w:style w:type="character" w:customStyle="1" w:styleId="MenuOptions">
    <w:name w:val="Menu Options"/>
    <w:basedOn w:val="DefaultParagraphFont"/>
    <w:rsid w:val="00130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E77"/>
    <w:rPr>
      <w:b/>
    </w:rPr>
  </w:style>
  <w:style w:type="character" w:customStyle="1" w:styleId="Underlined">
    <w:name w:val="Underlined"/>
    <w:basedOn w:val="DefaultParagraphFont"/>
    <w:rsid w:val="00130E77"/>
    <w:rPr>
      <w:u w:val="single"/>
    </w:rPr>
  </w:style>
  <w:style w:type="paragraph" w:customStyle="1" w:styleId="TableBodyTextRight">
    <w:name w:val="Table Body Text Right"/>
    <w:basedOn w:val="TableBodyText"/>
    <w:rsid w:val="00130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E77"/>
    <w:rPr>
      <w:sz w:val="18"/>
    </w:rPr>
  </w:style>
  <w:style w:type="paragraph" w:customStyle="1" w:styleId="BodySmallRight">
    <w:name w:val="Body Small Right"/>
    <w:basedOn w:val="BodyTextRight"/>
    <w:rsid w:val="00130E77"/>
    <w:rPr>
      <w:sz w:val="18"/>
      <w:szCs w:val="18"/>
    </w:rPr>
  </w:style>
  <w:style w:type="paragraph" w:customStyle="1" w:styleId="MarginEdition">
    <w:name w:val="Margin Edition"/>
    <w:basedOn w:val="MarginNote"/>
    <w:rsid w:val="00130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E77"/>
    <w:rPr>
      <w:sz w:val="2"/>
      <w:szCs w:val="2"/>
    </w:rPr>
  </w:style>
  <w:style w:type="character" w:customStyle="1" w:styleId="Small">
    <w:name w:val="Small"/>
    <w:basedOn w:val="DefaultParagraphFont"/>
    <w:rsid w:val="00130E77"/>
    <w:rPr>
      <w:sz w:val="16"/>
    </w:rPr>
  </w:style>
  <w:style w:type="paragraph" w:customStyle="1" w:styleId="WideTable">
    <w:name w:val="Wide Table"/>
    <w:basedOn w:val="Normal"/>
    <w:rsid w:val="00130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E77"/>
  </w:style>
  <w:style w:type="paragraph" w:styleId="Quote">
    <w:name w:val="Quote"/>
    <w:basedOn w:val="Heading1"/>
    <w:link w:val="QuoteChar"/>
    <w:qFormat/>
    <w:rsid w:val="00130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E77"/>
    <w:pPr>
      <w:pageBreakBefore/>
    </w:pPr>
  </w:style>
  <w:style w:type="paragraph" w:customStyle="1" w:styleId="Border">
    <w:name w:val="Border"/>
    <w:basedOn w:val="Normal"/>
    <w:qFormat/>
    <w:rsid w:val="00130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E77"/>
    <w:rPr>
      <w:u w:val="single"/>
    </w:rPr>
  </w:style>
  <w:style w:type="character" w:customStyle="1" w:styleId="BoldandItalics">
    <w:name w:val="Bold and Italics"/>
    <w:qFormat/>
    <w:rsid w:val="00130E77"/>
    <w:rPr>
      <w:b/>
      <w:i/>
      <w:u w:val="none"/>
    </w:rPr>
  </w:style>
  <w:style w:type="paragraph" w:styleId="BalloonText">
    <w:name w:val="Balloon Text"/>
    <w:basedOn w:val="Normal"/>
    <w:link w:val="BalloonTextChar"/>
    <w:rsid w:val="00130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E77"/>
    <w:pPr>
      <w:spacing w:before="0" w:after="0"/>
    </w:pPr>
  </w:style>
  <w:style w:type="paragraph" w:customStyle="1" w:styleId="BodyTextBold">
    <w:name w:val="Body Text Bold"/>
    <w:basedOn w:val="BodyText"/>
    <w:qFormat/>
    <w:rsid w:val="00130E77"/>
    <w:rPr>
      <w:b/>
    </w:rPr>
  </w:style>
  <w:style w:type="character" w:styleId="Hyperlink">
    <w:name w:val="Hyperlink"/>
    <w:basedOn w:val="DefaultParagraphFont"/>
    <w:uiPriority w:val="99"/>
    <w:unhideWhenUsed/>
    <w:rsid w:val="00D90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3350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MEM15015 Examine trading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