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249" w:rsidP="00AF2249">
      <w:pPr>
        <w:pStyle w:val="Title"/>
      </w:pPr>
      <w:r>
        <w:fldChar w:fldCharType="begin"/>
      </w:r>
      <w:r>
        <w:instrText xml:space="preserve"> TITLE   \* MERGEFORMAT </w:instrText>
      </w:r>
      <w:r>
        <w:fldChar w:fldCharType="separate"/>
      </w:r>
      <w:r>
        <w:t>MEM15010 Perform laboratory procedures</w:t>
      </w:r>
      <w:r>
        <w:fldChar w:fldCharType="end"/>
      </w:r>
    </w:p>
    <w:p w:rsidR="00AF2249" w:rsidP="00AF2249">
      <w:pPr>
        <w:pStyle w:val="Version"/>
        <w:sectPr w:rsidSect="00D803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3DF" w:rsidP="00D803DF">
      <w:pPr>
        <w:pStyle w:val="SuperHeading"/>
      </w:pPr>
      <w:r w:rsidRPr="00D803DF">
        <w:t>MEM15010 Perform laboratory procedures</w:t>
      </w:r>
    </w:p>
    <w:p w:rsidR="00000000" w:rsidRPr="00D803DF" w:rsidP="00D803DF">
      <w:pPr>
        <w:pStyle w:val="Heading1"/>
      </w:pPr>
      <w:bookmarkStart w:id="1" w:name="O_953040"/>
      <w:bookmarkEnd w:id="1"/>
      <w:r w:rsidRPr="00D803DF">
        <w:t>Modification History</w:t>
      </w:r>
    </w:p>
    <w:p w:rsidR="00000000" w:rsidRPr="00D803DF" w:rsidP="00AF2249">
      <w:pPr>
        <w:pStyle w:val="BodyText"/>
      </w:pPr>
      <w:r w:rsidRPr="00D803DF">
        <w:t xml:space="preserve">Release 1. Supersedes and is equivalent to MEM15010B Perform laboratory procedures </w:t>
      </w:r>
    </w:p>
    <w:p w:rsidR="00000000" w:rsidRPr="00D803DF" w:rsidP="00D803DF">
      <w:pPr>
        <w:pStyle w:val="Heading1"/>
      </w:pPr>
      <w:bookmarkStart w:id="2" w:name="O_953048"/>
      <w:bookmarkEnd w:id="2"/>
      <w:r w:rsidRPr="00D803DF">
        <w:t>Application</w:t>
      </w:r>
    </w:p>
    <w:p w:rsidR="00000000" w:rsidRPr="00D803DF" w:rsidP="00AF2249">
      <w:pPr>
        <w:pStyle w:val="BodyText"/>
      </w:pPr>
      <w:r w:rsidRPr="00D803DF">
        <w:t>This unit of competency defines the skills and knowledge required to work under laboratory conditions, perform calibration</w:t>
      </w:r>
      <w:r w:rsidRPr="00D803DF">
        <w:t xml:space="preserve"> of equipment and write reports on the results. It applies to the use of a range of sophisticated equipment that provides independent feedback on quality processes and procedures.</w:t>
      </w:r>
    </w:p>
    <w:p w:rsidR="00000000" w:rsidRPr="00D803DF" w:rsidP="00AF2249">
      <w:pPr>
        <w:pStyle w:val="BodyText"/>
      </w:pPr>
      <w:r w:rsidRPr="00D803DF">
        <w:t>Calibration refers to those calibrations which are conducted to a specified</w:t>
      </w:r>
      <w:r w:rsidRPr="00D803DF">
        <w:t xml:space="preserve"> standard using equipment available in the workplace/laboratory. It can include the testing of known standard samples.</w:t>
      </w:r>
    </w:p>
    <w:p w:rsidR="00000000" w:rsidRPr="00D803DF" w:rsidP="00AF2249">
      <w:pPr>
        <w:pStyle w:val="BodyText"/>
      </w:pPr>
      <w:r w:rsidRPr="00D803DF">
        <w:t>This unit would be taken in conjunction with appropriate technical units.</w:t>
      </w:r>
    </w:p>
    <w:p w:rsidR="00000000" w:rsidRPr="00D803DF" w:rsidP="00AF2249">
      <w:pPr>
        <w:pStyle w:val="BodyText"/>
      </w:pPr>
      <w:r w:rsidRPr="00D803DF">
        <w:t>Where interpretation of technical drawings is required unit M</w:t>
      </w:r>
      <w:r w:rsidRPr="00D803DF">
        <w:t>EM09002 Interpret technical drawing should also be selected.</w:t>
      </w:r>
    </w:p>
    <w:p w:rsidR="00000000" w:rsidRPr="00D803DF" w:rsidP="00AF2249">
      <w:pPr>
        <w:pStyle w:val="BodyText"/>
      </w:pPr>
      <w:r w:rsidRPr="00D803DF">
        <w:t>Where the selection and use of engineering measurement is required unit MEM12023 Perform engineering measurements should also be selected.</w:t>
      </w:r>
    </w:p>
    <w:p w:rsidR="00000000" w:rsidRPr="00D803DF" w:rsidP="00AF2249">
      <w:pPr>
        <w:pStyle w:val="BodyText"/>
      </w:pPr>
      <w:r w:rsidRPr="00D803DF">
        <w:t xml:space="preserve">Where the selection and use of tools is required unit </w:t>
      </w:r>
      <w:r w:rsidRPr="00D803DF">
        <w:t>MEM18001 Use hand tools and unit MEM18002 Use power tools/hand held operations, should also be selected as appropriate.</w:t>
      </w:r>
    </w:p>
    <w:p w:rsidR="00000000" w:rsidRPr="00D803DF" w:rsidP="00AF2249">
      <w:pPr>
        <w:pStyle w:val="BodyText"/>
      </w:pPr>
      <w:r w:rsidRPr="00D803DF">
        <w:t>No licensing, legislative or certification requirements apply to this unit at the time of publication.</w:t>
      </w:r>
    </w:p>
    <w:p w:rsidR="00000000" w:rsidRPr="00D803DF" w:rsidP="00D803DF">
      <w:pPr>
        <w:pStyle w:val="BodyText"/>
      </w:pPr>
      <w:r w:rsidRPr="00D803DF">
        <w:rPr>
          <w:rStyle w:val="SpecialBold"/>
        </w:rPr>
        <w:t>Band</w:t>
      </w:r>
      <w:r w:rsidRPr="00D803DF">
        <w:t>:</w:t>
      </w:r>
      <w:r w:rsidRPr="00D803DF">
        <w:tab/>
      </w:r>
      <w:r w:rsidRPr="00D803DF">
        <w:rPr>
          <w:rStyle w:val="SpecialBold"/>
        </w:rPr>
        <w:t>B</w:t>
      </w:r>
    </w:p>
    <w:p w:rsidR="00000000" w:rsidRPr="00D803DF" w:rsidP="00D803DF">
      <w:pPr>
        <w:pStyle w:val="BodyText"/>
      </w:pPr>
      <w:r w:rsidRPr="00D803DF">
        <w:rPr>
          <w:rStyle w:val="SpecialBold"/>
        </w:rPr>
        <w:t>Unit Weight</w:t>
      </w:r>
      <w:r w:rsidRPr="00D803DF">
        <w:t>:</w:t>
      </w:r>
      <w:r w:rsidRPr="00D803DF">
        <w:tab/>
      </w:r>
      <w:r w:rsidRPr="00D803DF">
        <w:rPr>
          <w:rStyle w:val="SpecialBold"/>
        </w:rPr>
        <w:t>8</w:t>
      </w:r>
    </w:p>
    <w:p w:rsidR="00000000" w:rsidRPr="00D803DF" w:rsidP="00D803DF">
      <w:pPr>
        <w:pStyle w:val="AllowPageBreak"/>
      </w:pPr>
    </w:p>
    <w:p w:rsidR="00000000" w:rsidRPr="00D803DF" w:rsidP="00D803DF">
      <w:pPr>
        <w:pStyle w:val="Heading1"/>
      </w:pPr>
      <w:bookmarkStart w:id="3" w:name="O_953047"/>
      <w:bookmarkEnd w:id="3"/>
      <w:r w:rsidRPr="00D803DF">
        <w:t>Pre-requisite Unit</w:t>
      </w:r>
    </w:p>
    <w:tbl>
      <w:tblPr>
        <w:tblW w:w="0" w:type="auto"/>
        <w:tblLayout w:type="fixed"/>
        <w:tblCellMar>
          <w:left w:w="62" w:type="dxa"/>
          <w:right w:w="62" w:type="dxa"/>
        </w:tblCellMar>
        <w:tblLook w:val="0000"/>
      </w:tblPr>
      <w:tblGrid>
        <w:gridCol w:w="2186"/>
        <w:gridCol w:w="6886"/>
      </w:tblGrid>
      <w:tr w:rsidTr="00D803D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MEM11011</w:t>
            </w:r>
          </w:p>
        </w:tc>
        <w:tc>
          <w:tcPr>
            <w:tcW w:w="6886"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Undertake manual handling</w:t>
            </w:r>
          </w:p>
        </w:tc>
      </w:tr>
      <w:tr w:rsidTr="00D803D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MEM13015</w:t>
            </w:r>
          </w:p>
        </w:tc>
        <w:tc>
          <w:tcPr>
            <w:tcW w:w="6886"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Work safely and effectively in manufacturing and engineering</w:t>
            </w:r>
          </w:p>
        </w:tc>
      </w:tr>
      <w:tr w:rsidTr="00D803D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MEM16006</w:t>
            </w:r>
          </w:p>
        </w:tc>
        <w:tc>
          <w:tcPr>
            <w:tcW w:w="6886" w:type="dxa"/>
            <w:tcBorders>
              <w:top w:val="nil"/>
              <w:left w:val="nil"/>
              <w:bottom w:val="nil"/>
              <w:right w:val="nil"/>
            </w:tcBorders>
            <w:tcMar>
              <w:top w:w="0" w:type="dxa"/>
              <w:left w:w="62" w:type="dxa"/>
              <w:bottom w:w="0" w:type="dxa"/>
              <w:right w:w="62" w:type="dxa"/>
            </w:tcMar>
          </w:tcPr>
          <w:p w:rsidR="00000000" w:rsidRPr="00D803DF" w:rsidP="00D803DF">
            <w:pPr>
              <w:pStyle w:val="BodyText"/>
            </w:pPr>
            <w:r w:rsidRPr="00D803DF">
              <w:t>Organise and communicate information</w:t>
            </w:r>
          </w:p>
        </w:tc>
      </w:tr>
    </w:tbl>
    <w:p w:rsidR="00000000" w:rsidRPr="00D803DF" w:rsidP="00D803DF">
      <w:pPr>
        <w:pStyle w:val="BodyText"/>
      </w:pPr>
    </w:p>
    <w:p w:rsidR="00000000" w:rsidRPr="00D803DF" w:rsidP="00D803DF">
      <w:pPr>
        <w:pStyle w:val="AllowPageBreak"/>
      </w:pPr>
    </w:p>
    <w:p w:rsidR="00000000" w:rsidRPr="00D803DF" w:rsidP="00D803DF">
      <w:pPr>
        <w:pStyle w:val="Heading1"/>
      </w:pPr>
      <w:bookmarkStart w:id="4" w:name="O_953046"/>
      <w:bookmarkEnd w:id="4"/>
      <w:r w:rsidRPr="00D803DF">
        <w:t>Competency Field</w:t>
      </w:r>
    </w:p>
    <w:p w:rsidR="00000000" w:rsidRPr="00D803DF" w:rsidP="00AF2249">
      <w:pPr>
        <w:pStyle w:val="BodyText"/>
      </w:pPr>
      <w:r w:rsidRPr="00D803DF">
        <w:t>Quality</w:t>
      </w:r>
    </w:p>
    <w:p w:rsidR="00000000" w:rsidRPr="00D803DF" w:rsidP="00D803DF">
      <w:pPr>
        <w:pStyle w:val="Heading1"/>
      </w:pPr>
      <w:bookmarkStart w:id="5" w:name="O_953044"/>
      <w:bookmarkEnd w:id="5"/>
      <w:r w:rsidRPr="00D803D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803D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Performance criteria describe the performance needed to demonstrate achievement of the element.</w:t>
            </w:r>
          </w:p>
        </w:tc>
      </w:tr>
      <w:tr w:rsidTr="00D803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803DF" w:rsidP="00D803DF">
            <w:pPr>
              <w:pStyle w:val="BodyText"/>
            </w:pPr>
            <w:r w:rsidRPr="00D803DF">
              <w:t>1</w:t>
            </w:r>
          </w:p>
        </w:tc>
        <w:tc>
          <w:tcPr>
            <w:tcW w:w="1986" w:type="dxa"/>
            <w:vMerge w:val="restart"/>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1.1</w:t>
            </w:r>
          </w:p>
        </w:tc>
        <w:tc>
          <w:tcPr>
            <w:tcW w:w="5678"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Follow standard operating procedures (SOPs)</w:t>
            </w:r>
          </w:p>
        </w:tc>
      </w:tr>
      <w:tr w:rsidTr="00D803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1.2</w:t>
            </w:r>
          </w:p>
        </w:tc>
        <w:tc>
          <w:tcPr>
            <w:tcW w:w="5678"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Comply with work health and safety (WHS) requirements at all times</w:t>
            </w:r>
          </w:p>
        </w:tc>
      </w:tr>
      <w:tr w:rsidTr="00D803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1.3</w:t>
            </w:r>
          </w:p>
        </w:tc>
        <w:tc>
          <w:tcPr>
            <w:tcW w:w="5678"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Identify job requirements from specifications, drawings, circuits, job sheets or work instructions</w:t>
            </w:r>
          </w:p>
        </w:tc>
      </w:tr>
      <w:tr w:rsidTr="00D803D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803DF">
            <w:pPr>
              <w:pStyle w:val="BodyText"/>
              <w:rPr>
                <w:lang w:val="en-NZ"/>
              </w:rPr>
            </w:pPr>
          </w:p>
        </w:tc>
      </w:tr>
      <w:tr w:rsidTr="00D803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803DF" w:rsidP="00D803DF">
            <w:pPr>
              <w:pStyle w:val="BodyText"/>
            </w:pPr>
            <w:r w:rsidRPr="00D803DF">
              <w:t>2</w:t>
            </w:r>
          </w:p>
        </w:tc>
        <w:tc>
          <w:tcPr>
            <w:tcW w:w="1986" w:type="dxa"/>
            <w:vMerge w:val="restart"/>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rPr>
                <w:rStyle w:val="SpecialBold"/>
              </w:rPr>
              <w:t>Work under laboratory conditions and perform calibration</w:t>
            </w:r>
          </w:p>
        </w:tc>
        <w:tc>
          <w:tcPr>
            <w:tcW w:w="77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2.1</w:t>
            </w:r>
          </w:p>
        </w:tc>
        <w:tc>
          <w:tcPr>
            <w:tcW w:w="5678"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Conduct independent tests under controlled conditions</w:t>
            </w:r>
          </w:p>
        </w:tc>
      </w:tr>
      <w:tr w:rsidTr="00D803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2.2</w:t>
            </w:r>
          </w:p>
        </w:tc>
        <w:tc>
          <w:tcPr>
            <w:tcW w:w="5678"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Verify and calibrate equipment to agreed quality standards</w:t>
            </w:r>
          </w:p>
        </w:tc>
      </w:tr>
      <w:tr w:rsidTr="00D803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2.3</w:t>
            </w:r>
          </w:p>
        </w:tc>
        <w:tc>
          <w:tcPr>
            <w:tcW w:w="5678"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Safeguard calibration status against unauthorised adjustment</w:t>
            </w:r>
          </w:p>
        </w:tc>
      </w:tr>
      <w:tr w:rsidTr="00D803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2.4</w:t>
            </w:r>
          </w:p>
        </w:tc>
        <w:tc>
          <w:tcPr>
            <w:tcW w:w="5678"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Keep accurate records for reference purposes</w:t>
            </w:r>
          </w:p>
        </w:tc>
      </w:tr>
      <w:tr w:rsidTr="00D803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2.5</w:t>
            </w:r>
          </w:p>
        </w:tc>
        <w:tc>
          <w:tcPr>
            <w:tcW w:w="5678"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Recall test equipment periodically for adjustment, repair and re-calibration</w:t>
            </w:r>
          </w:p>
        </w:tc>
      </w:tr>
      <w:tr w:rsidTr="00D803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2.6</w:t>
            </w:r>
          </w:p>
        </w:tc>
        <w:tc>
          <w:tcPr>
            <w:tcW w:w="5678"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Maintain documentary evidence to satisfy the requirements of the certifying body or as specified by the calibration standards or the manufacturer’s recommendations</w:t>
            </w:r>
          </w:p>
        </w:tc>
      </w:tr>
      <w:tr w:rsidTr="00D803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2.7</w:t>
            </w:r>
          </w:p>
        </w:tc>
        <w:tc>
          <w:tcPr>
            <w:tcW w:w="5678" w:type="dxa"/>
            <w:tcBorders>
              <w:top w:val="nil"/>
              <w:left w:val="nil"/>
              <w:bottom w:val="nil"/>
              <w:right w:val="nil"/>
            </w:tcBorders>
            <w:tcMar>
              <w:top w:w="0" w:type="dxa"/>
              <w:left w:w="62" w:type="dxa"/>
              <w:bottom w:w="0" w:type="dxa"/>
              <w:right w:w="62" w:type="dxa"/>
            </w:tcMar>
          </w:tcPr>
          <w:p w:rsidR="00000000" w:rsidRPr="00D803DF" w:rsidP="00D803DF">
            <w:pPr>
              <w:pStyle w:val="BodyText"/>
            </w:pPr>
            <w:r w:rsidRPr="00D803DF">
              <w:t>T</w:t>
            </w:r>
            <w:r w:rsidRPr="00D803DF">
              <w:t>race calibration of known accuracy to national or international reference standards or, where these do not exist, set calibration to specifically developed criteria</w:t>
            </w:r>
          </w:p>
        </w:tc>
      </w:tr>
    </w:tbl>
    <w:p w:rsidR="00000000" w:rsidRPr="00D803DF" w:rsidP="00D803DF">
      <w:pPr>
        <w:pStyle w:val="BodyText"/>
      </w:pPr>
    </w:p>
    <w:p w:rsidR="00000000" w:rsidRPr="00D803DF" w:rsidP="00D803DF">
      <w:pPr>
        <w:pStyle w:val="AllowPageBreak"/>
      </w:pPr>
    </w:p>
    <w:p w:rsidR="00000000" w:rsidRPr="00D803DF" w:rsidP="00D803DF">
      <w:pPr>
        <w:pStyle w:val="Heading1"/>
      </w:pPr>
      <w:bookmarkStart w:id="6" w:name="O_953043"/>
      <w:bookmarkEnd w:id="6"/>
      <w:r w:rsidRPr="00D803DF">
        <w:t>Foundation Skills</w:t>
      </w:r>
    </w:p>
    <w:p w:rsidR="00000000" w:rsidRPr="00D803DF" w:rsidP="00AF2249">
      <w:pPr>
        <w:pStyle w:val="BodyText"/>
      </w:pPr>
      <w:r w:rsidRPr="00D803DF">
        <w:t>This section describes those required skills (reading,</w:t>
      </w:r>
      <w:r w:rsidRPr="00D803DF">
        <w:t xml:space="preserve"> writing, oral communication and numeracy) that are essential to workplace performance in this unit of competency.  </w:t>
      </w:r>
    </w:p>
    <w:p w:rsidR="00000000" w:rsidRPr="00D803DF" w:rsidP="00AF2249">
      <w:pPr>
        <w:pStyle w:val="BodyText"/>
      </w:pPr>
      <w:r w:rsidRPr="00D803DF">
        <w:t>Foundation skills essential to performance are explicit in the performance criteria of this unit of competency.</w:t>
      </w:r>
    </w:p>
    <w:p w:rsidR="00000000" w:rsidRPr="00D803DF" w:rsidP="00D803DF">
      <w:pPr>
        <w:pStyle w:val="Heading1"/>
      </w:pPr>
      <w:bookmarkStart w:id="7" w:name="O_953042"/>
      <w:bookmarkEnd w:id="7"/>
      <w:r w:rsidRPr="00D803DF">
        <w:t>Range of Conditions</w:t>
      </w:r>
    </w:p>
    <w:tbl>
      <w:tblPr>
        <w:tblW w:w="9322" w:type="dxa"/>
        <w:tblLayout w:type="fixed"/>
        <w:tblCellMar>
          <w:left w:w="62" w:type="dxa"/>
          <w:right w:w="62" w:type="dxa"/>
        </w:tblCellMar>
        <w:tblLook w:val="0000"/>
      </w:tblPr>
      <w:tblGrid>
        <w:gridCol w:w="2759"/>
        <w:gridCol w:w="6563"/>
      </w:tblGrid>
      <w:tr w:rsidTr="00D803DF">
        <w:tblPrEx>
          <w:tblW w:w="9322" w:type="dxa"/>
          <w:tblLayout w:type="fixed"/>
          <w:tblCellMar>
            <w:left w:w="62" w:type="dxa"/>
            <w:right w:w="62" w:type="dxa"/>
          </w:tblCellMar>
          <w:tblLook w:val="0000"/>
        </w:tblPrEx>
        <w:trPr>
          <w:tblHeader/>
        </w:trPr>
        <w:tc>
          <w:tcPr>
            <w:tcW w:w="9322" w:type="dxa"/>
            <w:gridSpan w:val="2"/>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t>This field allows for different work environments and conditions that may affect performance. Essential operating conditions that may be present (depending on the work situation, needs of the candidate, accessibility of the item, and lo</w:t>
            </w:r>
            <w:r w:rsidRPr="00D803DF">
              <w:t>cal industry and regional contexts) are included.</w:t>
            </w:r>
          </w:p>
        </w:tc>
      </w:tr>
      <w:tr w:rsidTr="00D803DF">
        <w:tblPrEx>
          <w:tblW w:w="9322"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rPr>
                <w:rStyle w:val="SpecialBold"/>
              </w:rPr>
              <w:t>Tests will be conducted to a standard and include one (1) or more of the following:</w:t>
            </w:r>
          </w:p>
        </w:tc>
        <w:tc>
          <w:tcPr>
            <w:tcW w:w="6563" w:type="dxa"/>
            <w:tcBorders>
              <w:top w:val="nil"/>
              <w:left w:val="nil"/>
              <w:bottom w:val="nil"/>
              <w:right w:val="nil"/>
            </w:tcBorders>
            <w:tcMar>
              <w:top w:w="0" w:type="dxa"/>
              <w:left w:w="62" w:type="dxa"/>
              <w:bottom w:w="0" w:type="dxa"/>
              <w:right w:w="62" w:type="dxa"/>
            </w:tcMar>
          </w:tcPr>
          <w:p w:rsidR="00000000" w:rsidRPr="00D803DF" w:rsidP="00D803DF">
            <w:pPr>
              <w:pStyle w:val="ListBullet"/>
            </w:pPr>
            <w:r w:rsidRPr="00D803DF">
              <w:t>mechanical tests including for hardness, tensile and impact</w:t>
            </w:r>
          </w:p>
          <w:p w:rsidR="00000000" w:rsidRPr="00D803DF" w:rsidP="00D803DF">
            <w:pPr>
              <w:pStyle w:val="ListBullet"/>
            </w:pPr>
            <w:r w:rsidRPr="00D803DF">
              <w:t xml:space="preserve">electrical tests including for resistance, capacitance and </w:t>
            </w:r>
            <w:r w:rsidRPr="00D803DF">
              <w:t>inductance</w:t>
            </w:r>
          </w:p>
          <w:p w:rsidR="00000000" w:rsidRPr="00D803DF" w:rsidP="00D803DF">
            <w:pPr>
              <w:pStyle w:val="ListBullet"/>
            </w:pPr>
            <w:r w:rsidRPr="00D803DF">
              <w:t>semiconductor or other electronic tests</w:t>
            </w:r>
          </w:p>
          <w:p w:rsidR="00000000" w:rsidP="00D803DF">
            <w:pPr>
              <w:pStyle w:val="BodyText"/>
              <w:rPr>
                <w:lang w:val="en-NZ"/>
              </w:rPr>
            </w:pPr>
          </w:p>
        </w:tc>
      </w:tr>
      <w:tr w:rsidTr="00D803DF">
        <w:tblPrEx>
          <w:tblW w:w="9322"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rPr>
                <w:rStyle w:val="SpecialBold"/>
              </w:rPr>
              <w:t>Test equipment includes one (1) or more of the following:</w:t>
            </w:r>
          </w:p>
        </w:tc>
        <w:tc>
          <w:tcPr>
            <w:tcW w:w="6563" w:type="dxa"/>
            <w:tcBorders>
              <w:top w:val="nil"/>
              <w:left w:val="nil"/>
              <w:bottom w:val="nil"/>
              <w:right w:val="nil"/>
            </w:tcBorders>
            <w:tcMar>
              <w:top w:w="0" w:type="dxa"/>
              <w:left w:w="62" w:type="dxa"/>
              <w:bottom w:w="0" w:type="dxa"/>
              <w:right w:w="62" w:type="dxa"/>
            </w:tcMar>
          </w:tcPr>
          <w:p w:rsidR="00000000" w:rsidRPr="00D803DF" w:rsidP="00D803DF">
            <w:pPr>
              <w:pStyle w:val="ListBullet"/>
            </w:pPr>
            <w:r w:rsidRPr="00D803DF">
              <w:t>mechanical</w:t>
            </w:r>
          </w:p>
          <w:p w:rsidR="00000000" w:rsidRPr="00D803DF" w:rsidP="00D803DF">
            <w:pPr>
              <w:pStyle w:val="ListBullet"/>
            </w:pPr>
            <w:r w:rsidRPr="00D803DF">
              <w:t xml:space="preserve">electrical </w:t>
            </w:r>
          </w:p>
          <w:p w:rsidR="00000000" w:rsidRPr="00D803DF" w:rsidP="00D803DF">
            <w:pPr>
              <w:pStyle w:val="ListBullet"/>
            </w:pPr>
            <w:r w:rsidRPr="00D803DF">
              <w:t xml:space="preserve">electronic </w:t>
            </w:r>
          </w:p>
          <w:p w:rsidR="00000000" w:rsidRPr="00D803DF" w:rsidP="00D803DF">
            <w:pPr>
              <w:pStyle w:val="ListBullet"/>
            </w:pPr>
            <w:r w:rsidRPr="00D803DF">
              <w:t>some combination</w:t>
            </w:r>
          </w:p>
          <w:p w:rsidR="00000000" w:rsidP="00D803DF">
            <w:pPr>
              <w:pStyle w:val="BodyText"/>
              <w:rPr>
                <w:lang w:val="en-NZ"/>
              </w:rPr>
            </w:pPr>
          </w:p>
        </w:tc>
      </w:tr>
      <w:tr w:rsidTr="00D803DF">
        <w:tblPrEx>
          <w:tblW w:w="9322"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803DF">
            <w:pPr>
              <w:pStyle w:val="BodyText"/>
              <w:rPr>
                <w:lang w:val="en-NZ"/>
              </w:rPr>
            </w:pPr>
            <w:r w:rsidRPr="00D803DF">
              <w:rPr>
                <w:rStyle w:val="SpecialBold"/>
              </w:rPr>
              <w:t xml:space="preserve">Documentary evidence includes one (1) or more of the following: </w:t>
            </w:r>
          </w:p>
        </w:tc>
        <w:tc>
          <w:tcPr>
            <w:tcW w:w="6563" w:type="dxa"/>
            <w:tcBorders>
              <w:top w:val="nil"/>
              <w:left w:val="nil"/>
              <w:bottom w:val="nil"/>
              <w:right w:val="nil"/>
            </w:tcBorders>
            <w:tcMar>
              <w:top w:w="0" w:type="dxa"/>
              <w:left w:w="62" w:type="dxa"/>
              <w:bottom w:w="0" w:type="dxa"/>
              <w:right w:w="62" w:type="dxa"/>
            </w:tcMar>
          </w:tcPr>
          <w:p w:rsidR="00000000" w:rsidRPr="00D803DF" w:rsidP="00D803DF">
            <w:pPr>
              <w:pStyle w:val="ListBullet"/>
            </w:pPr>
            <w:r w:rsidRPr="00D803DF">
              <w:t>identification of equipment</w:t>
            </w:r>
          </w:p>
          <w:p w:rsidR="00000000" w:rsidRPr="00D803DF" w:rsidP="00D803DF">
            <w:pPr>
              <w:pStyle w:val="ListBullet"/>
            </w:pPr>
            <w:r w:rsidRPr="00D803DF">
              <w:t>frequency of re-calibration</w:t>
            </w:r>
          </w:p>
          <w:p w:rsidR="00000000" w:rsidRPr="00D803DF" w:rsidP="00D803DF">
            <w:pPr>
              <w:pStyle w:val="ListBullet"/>
            </w:pPr>
            <w:r w:rsidRPr="00D803DF">
              <w:t xml:space="preserve">calibration status </w:t>
            </w:r>
          </w:p>
          <w:p w:rsidR="00000000" w:rsidRPr="00D803DF" w:rsidP="00D803DF">
            <w:pPr>
              <w:pStyle w:val="ListBullet"/>
            </w:pPr>
            <w:r w:rsidRPr="00D803DF">
              <w:t>procedures for:</w:t>
            </w:r>
          </w:p>
          <w:p w:rsidR="00000000" w:rsidRPr="00D803DF" w:rsidP="00D803DF">
            <w:pPr>
              <w:pStyle w:val="ListBullet2"/>
            </w:pPr>
            <w:r w:rsidRPr="00D803DF">
              <w:t xml:space="preserve">recall </w:t>
            </w:r>
          </w:p>
          <w:p w:rsidR="00000000" w:rsidRPr="00D803DF" w:rsidP="00D803DF">
            <w:pPr>
              <w:pStyle w:val="ListBullet2"/>
            </w:pPr>
            <w:r w:rsidRPr="00D803DF">
              <w:t>handling and storage</w:t>
            </w:r>
          </w:p>
          <w:p w:rsidR="00000000" w:rsidRPr="00D803DF" w:rsidP="00D803DF">
            <w:pPr>
              <w:pStyle w:val="ListBullet2"/>
            </w:pPr>
            <w:r w:rsidRPr="00D803DF">
              <w:t>adjustment</w:t>
            </w:r>
          </w:p>
          <w:p w:rsidR="00000000" w:rsidRPr="00D803DF" w:rsidP="00D803DF">
            <w:pPr>
              <w:pStyle w:val="ListBullet2"/>
            </w:pPr>
            <w:r w:rsidRPr="00D803DF">
              <w:t>repair</w:t>
            </w:r>
          </w:p>
          <w:p w:rsidR="00000000" w:rsidRPr="00D803DF" w:rsidP="00D803DF">
            <w:pPr>
              <w:pStyle w:val="ListBullet2"/>
            </w:pPr>
            <w:r w:rsidRPr="00D803DF">
              <w:t>calibration</w:t>
            </w:r>
          </w:p>
          <w:p w:rsidR="00000000" w:rsidRPr="00D803DF" w:rsidP="00D803DF">
            <w:pPr>
              <w:pStyle w:val="ListBullet2"/>
            </w:pPr>
            <w:r w:rsidRPr="00D803DF">
              <w:t>installation and use</w:t>
            </w:r>
          </w:p>
          <w:p w:rsidR="00000000" w:rsidRPr="00D803DF" w:rsidP="00D803DF">
            <w:pPr>
              <w:pStyle w:val="BodyText"/>
            </w:pPr>
          </w:p>
        </w:tc>
      </w:tr>
    </w:tbl>
    <w:p w:rsidR="00000000" w:rsidRPr="00D803DF" w:rsidP="00D803DF">
      <w:pPr>
        <w:pStyle w:val="BodyText"/>
      </w:pPr>
    </w:p>
    <w:p w:rsidR="00000000" w:rsidRPr="00D803DF" w:rsidP="00D803DF">
      <w:pPr>
        <w:pStyle w:val="AllowPageBreak"/>
      </w:pPr>
    </w:p>
    <w:p w:rsidR="00000000" w:rsidRPr="00D803DF" w:rsidP="00D803DF">
      <w:pPr>
        <w:pStyle w:val="Heading1"/>
      </w:pPr>
      <w:bookmarkStart w:id="8" w:name="O_953041"/>
      <w:bookmarkEnd w:id="8"/>
      <w:r w:rsidRPr="00D803DF">
        <w:t>Unit Mapping Information</w:t>
      </w:r>
    </w:p>
    <w:p w:rsidR="00000000" w:rsidRPr="00D803DF" w:rsidP="00AF2249">
      <w:pPr>
        <w:pStyle w:val="BodyText"/>
      </w:pPr>
      <w:r w:rsidRPr="00D803DF">
        <w:t>Release 1. Supersedes and is equi</w:t>
      </w:r>
      <w:r w:rsidRPr="00D803DF">
        <w:t xml:space="preserve">valent to MEM15010B Perform laboratory procedures </w:t>
      </w:r>
    </w:p>
    <w:p w:rsidR="00000000" w:rsidRPr="00D803DF" w:rsidP="00D803DF">
      <w:pPr>
        <w:pStyle w:val="Heading1"/>
      </w:pPr>
      <w:bookmarkStart w:id="9" w:name="O_953034"/>
      <w:bookmarkEnd w:id="9"/>
      <w:r w:rsidRPr="00D803DF">
        <w:t>Links</w:t>
      </w:r>
    </w:p>
    <w:p w:rsidR="00000000" w:rsidRPr="00D803DF" w:rsidP="00AF2249">
      <w:pPr>
        <w:pStyle w:val="BodyText"/>
      </w:pPr>
      <w:r w:rsidRPr="00D803D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F7221">
        <w:rPr>
          <w:rStyle w:val="Hyperlink"/>
        </w:rPr>
        <w:t>https://vetnet.gov.au/Pages/TrainingDocs.aspx?q=b7050d37-5fd0-4740-8f7d-3b7a49c10bb2</w:t>
      </w:r>
      <w:r>
        <w:fldChar w:fldCharType="end"/>
      </w:r>
    </w:p>
    <w:p w:rsidR="00000000" w:rsidRPr="00D803DF" w:rsidP="00D803DF"/>
    <w:sectPr w:rsidSect="00D803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DF" w:rsidRPr="00AF2249" w:rsidP="00AF2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49" w:rsidP="00D803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2249" w:rsidP="00D803D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2249" w:rsidP="00D803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3DF" w:rsidRPr="00AF2249" w:rsidP="00AF22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49" w:rsidRPr="002D2AF8" w:rsidP="00D803DF">
    <w:pPr>
      <w:pStyle w:val="Header"/>
      <w:framePr w:wrap="around"/>
    </w:pPr>
    <w:r>
      <w:fldChar w:fldCharType="begin"/>
    </w:r>
    <w:r>
      <w:instrText xml:space="preserve"> TITLE   \* MERGEFORMAT </w:instrText>
    </w:r>
    <w:r>
      <w:fldChar w:fldCharType="separate"/>
    </w:r>
    <w:r>
      <w:t>MEM15010 Perform laboratory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F2249" w:rsidP="00D803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5C52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A23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EA3B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3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3DF"/>
    <w:pPr>
      <w:spacing w:before="360" w:after="60"/>
      <w:outlineLvl w:val="0"/>
    </w:pPr>
    <w:rPr>
      <w:sz w:val="32"/>
    </w:rPr>
  </w:style>
  <w:style w:type="paragraph" w:styleId="Heading2">
    <w:name w:val="heading 2"/>
    <w:basedOn w:val="HeadingBase"/>
    <w:next w:val="BodyText"/>
    <w:link w:val="Heading2Char"/>
    <w:qFormat/>
    <w:rsid w:val="00D803DF"/>
    <w:pPr>
      <w:keepLines/>
      <w:spacing w:before="240" w:after="120"/>
      <w:outlineLvl w:val="1"/>
    </w:pPr>
    <w:rPr>
      <w:sz w:val="28"/>
      <w:szCs w:val="40"/>
    </w:rPr>
  </w:style>
  <w:style w:type="paragraph" w:styleId="Heading3">
    <w:name w:val="heading 3"/>
    <w:basedOn w:val="HeadingBase"/>
    <w:next w:val="BodyText"/>
    <w:link w:val="Heading3Char"/>
    <w:qFormat/>
    <w:rsid w:val="00D803DF"/>
    <w:pPr>
      <w:spacing w:before="180" w:after="120"/>
      <w:outlineLvl w:val="2"/>
    </w:pPr>
    <w:rPr>
      <w:spacing w:val="-10"/>
      <w:kern w:val="32"/>
    </w:rPr>
  </w:style>
  <w:style w:type="paragraph" w:styleId="Heading4">
    <w:name w:val="heading 4"/>
    <w:basedOn w:val="HeadingBase"/>
    <w:next w:val="BodyText"/>
    <w:link w:val="Heading4Char"/>
    <w:qFormat/>
    <w:rsid w:val="00D803DF"/>
    <w:pPr>
      <w:spacing w:before="160" w:after="120"/>
      <w:outlineLvl w:val="3"/>
    </w:pPr>
    <w:rPr>
      <w:sz w:val="22"/>
    </w:rPr>
  </w:style>
  <w:style w:type="paragraph" w:styleId="Heading5">
    <w:name w:val="heading 5"/>
    <w:basedOn w:val="HeadingBase"/>
    <w:next w:val="Normal"/>
    <w:link w:val="Heading5Char"/>
    <w:qFormat/>
    <w:rsid w:val="00D803DF"/>
    <w:pPr>
      <w:spacing w:before="80"/>
      <w:outlineLvl w:val="4"/>
    </w:pPr>
    <w:rPr>
      <w:color w:val="918585"/>
      <w:sz w:val="20"/>
    </w:rPr>
  </w:style>
  <w:style w:type="paragraph" w:styleId="Heading6">
    <w:name w:val="heading 6"/>
    <w:basedOn w:val="HeadingBase"/>
    <w:next w:val="Normal"/>
    <w:link w:val="Heading6Char"/>
    <w:qFormat/>
    <w:rsid w:val="00D803DF"/>
    <w:pPr>
      <w:spacing w:before="60"/>
      <w:outlineLvl w:val="5"/>
    </w:pPr>
    <w:rPr>
      <w:color w:val="918585"/>
      <w:sz w:val="20"/>
    </w:rPr>
  </w:style>
  <w:style w:type="paragraph" w:styleId="Heading7">
    <w:name w:val="heading 7"/>
    <w:basedOn w:val="Normal"/>
    <w:next w:val="Normal"/>
    <w:link w:val="Heading7Char"/>
    <w:qFormat/>
    <w:rsid w:val="00D803DF"/>
    <w:pPr>
      <w:ind w:left="720"/>
      <w:outlineLvl w:val="6"/>
    </w:pPr>
    <w:rPr>
      <w:i/>
    </w:rPr>
  </w:style>
  <w:style w:type="paragraph" w:styleId="Heading8">
    <w:name w:val="heading 8"/>
    <w:basedOn w:val="Normal"/>
    <w:next w:val="Normal"/>
    <w:link w:val="Heading8Char"/>
    <w:qFormat/>
    <w:rsid w:val="00D803DF"/>
    <w:pPr>
      <w:ind w:left="720"/>
      <w:outlineLvl w:val="7"/>
    </w:pPr>
    <w:rPr>
      <w:i/>
    </w:rPr>
  </w:style>
  <w:style w:type="paragraph" w:styleId="Heading9">
    <w:name w:val="heading 9"/>
    <w:basedOn w:val="Normal"/>
    <w:next w:val="Normal"/>
    <w:link w:val="Heading9Char"/>
    <w:qFormat/>
    <w:rsid w:val="00D803DF"/>
    <w:pPr>
      <w:ind w:left="720"/>
      <w:outlineLvl w:val="8"/>
    </w:pPr>
    <w:rPr>
      <w:i/>
    </w:rPr>
  </w:style>
  <w:style w:type="character" w:default="1" w:styleId="DefaultParagraphFont">
    <w:name w:val="Default Paragraph Font"/>
    <w:uiPriority w:val="1"/>
    <w:unhideWhenUsed/>
    <w:rsid w:val="00D803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3DF"/>
  </w:style>
  <w:style w:type="character" w:customStyle="1" w:styleId="Heading1Char">
    <w:name w:val="Heading 1 Char"/>
    <w:basedOn w:val="DefaultParagraphFont"/>
    <w:link w:val="Heading1"/>
    <w:rsid w:val="00D803DF"/>
    <w:rPr>
      <w:rFonts w:ascii="Times New Roman" w:eastAsia="Times New Roman" w:hAnsi="Times New Roman" w:cs="Times New Roman"/>
      <w:b/>
      <w:sz w:val="32"/>
      <w:szCs w:val="20"/>
      <w:lang w:eastAsia="en-US"/>
    </w:rPr>
  </w:style>
  <w:style w:type="paragraph" w:styleId="BodyText">
    <w:name w:val="Body Text"/>
    <w:basedOn w:val="Normal"/>
    <w:link w:val="BodyTextChar"/>
    <w:rsid w:val="00D803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3DF"/>
    <w:rPr>
      <w:rFonts w:ascii="Times New Roman" w:eastAsia="Times New Roman" w:hAnsi="Times New Roman" w:cs="Times New Roman"/>
      <w:sz w:val="24"/>
      <w:lang w:eastAsia="en-US"/>
    </w:rPr>
  </w:style>
  <w:style w:type="paragraph" w:styleId="ListBullet">
    <w:name w:val="List Bullet"/>
    <w:basedOn w:val="List"/>
    <w:rsid w:val="00D803DF"/>
    <w:pPr>
      <w:numPr>
        <w:numId w:val="12"/>
      </w:numPr>
      <w:tabs>
        <w:tab w:val="clear" w:pos="340"/>
      </w:tabs>
      <w:spacing w:before="40" w:after="40"/>
    </w:pPr>
  </w:style>
  <w:style w:type="character" w:customStyle="1" w:styleId="SpecialBold">
    <w:name w:val="Special Bold"/>
    <w:basedOn w:val="DefaultParagraphFont"/>
    <w:rsid w:val="00D803DF"/>
    <w:rPr>
      <w:b/>
      <w:spacing w:val="0"/>
    </w:rPr>
  </w:style>
  <w:style w:type="paragraph" w:styleId="ListBullet2">
    <w:name w:val="List Bullet 2"/>
    <w:basedOn w:val="List2"/>
    <w:rsid w:val="00D803DF"/>
    <w:pPr>
      <w:numPr>
        <w:numId w:val="13"/>
      </w:numPr>
      <w:tabs>
        <w:tab w:val="clear" w:pos="680"/>
      </w:tabs>
    </w:pPr>
  </w:style>
  <w:style w:type="paragraph" w:customStyle="1" w:styleId="SuperHeading">
    <w:name w:val="SuperHeading"/>
    <w:basedOn w:val="Normal"/>
    <w:rsid w:val="00D803DF"/>
    <w:pPr>
      <w:spacing w:before="240" w:after="120"/>
      <w:outlineLvl w:val="0"/>
    </w:pPr>
    <w:rPr>
      <w:rFonts w:ascii="Times New Roman" w:hAnsi="Times New Roman"/>
      <w:b/>
      <w:sz w:val="32"/>
    </w:rPr>
  </w:style>
  <w:style w:type="paragraph" w:customStyle="1" w:styleId="AllowPageBreak">
    <w:name w:val="AllowPageBreak"/>
    <w:rsid w:val="00D803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3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3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3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3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3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3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3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3DF"/>
    <w:rPr>
      <w:rFonts w:ascii="Courier New" w:eastAsia="Times New Roman" w:hAnsi="Courier New" w:cs="Times New Roman"/>
      <w:i/>
      <w:szCs w:val="20"/>
      <w:lang w:eastAsia="en-US"/>
    </w:rPr>
  </w:style>
  <w:style w:type="paragraph" w:customStyle="1" w:styleId="HeadingBase">
    <w:name w:val="Heading Base"/>
    <w:rsid w:val="00D803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3DF"/>
    <w:pPr>
      <w:tabs>
        <w:tab w:val="right" w:leader="dot" w:pos="9072"/>
      </w:tabs>
      <w:ind w:left="567"/>
    </w:pPr>
    <w:rPr>
      <w:szCs w:val="22"/>
    </w:rPr>
  </w:style>
  <w:style w:type="paragraph" w:customStyle="1" w:styleId="TOCBase">
    <w:name w:val="TOC Base"/>
    <w:rsid w:val="00D803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3DF"/>
    <w:pPr>
      <w:tabs>
        <w:tab w:val="right" w:leader="dot" w:pos="9072"/>
      </w:tabs>
      <w:spacing w:before="40" w:after="40"/>
      <w:ind w:left="284"/>
    </w:pPr>
    <w:rPr>
      <w:rFonts w:ascii="Times New Roman" w:hAnsi="Times New Roman"/>
    </w:rPr>
  </w:style>
  <w:style w:type="paragraph" w:styleId="TOC1">
    <w:name w:val="toc 1"/>
    <w:basedOn w:val="TOCBase"/>
    <w:next w:val="Normal"/>
    <w:rsid w:val="00D803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3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3DF"/>
    <w:rPr>
      <w:rFonts w:ascii="Times New Roman" w:eastAsia="Times New Roman" w:hAnsi="Times New Roman" w:cs="Times New Roman"/>
      <w:sz w:val="16"/>
      <w:lang w:eastAsia="en-US"/>
    </w:rPr>
  </w:style>
  <w:style w:type="paragraph" w:styleId="Title">
    <w:name w:val="Title"/>
    <w:basedOn w:val="HeadingBase"/>
    <w:link w:val="TitleChar"/>
    <w:qFormat/>
    <w:rsid w:val="00D803DF"/>
    <w:pPr>
      <w:spacing w:before="5040"/>
      <w:jc w:val="center"/>
    </w:pPr>
    <w:rPr>
      <w:sz w:val="48"/>
      <w:szCs w:val="72"/>
      <w:lang w:val="en-US"/>
    </w:rPr>
  </w:style>
  <w:style w:type="character" w:customStyle="1" w:styleId="TitleChar">
    <w:name w:val="Title Char"/>
    <w:basedOn w:val="DefaultParagraphFont"/>
    <w:link w:val="Title"/>
    <w:rsid w:val="00D803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3DF"/>
    <w:pPr>
      <w:tabs>
        <w:tab w:val="left" w:pos="3600"/>
        <w:tab w:val="left" w:pos="3958"/>
      </w:tabs>
    </w:pPr>
  </w:style>
  <w:style w:type="paragraph" w:styleId="List">
    <w:name w:val="List"/>
    <w:basedOn w:val="BodyText"/>
    <w:next w:val="BodyText"/>
    <w:rsid w:val="00D803DF"/>
    <w:pPr>
      <w:tabs>
        <w:tab w:val="left" w:pos="340"/>
      </w:tabs>
      <w:spacing w:before="60" w:after="60"/>
      <w:ind w:left="340" w:hanging="340"/>
    </w:pPr>
  </w:style>
  <w:style w:type="paragraph" w:customStyle="1" w:styleId="Note">
    <w:name w:val="Note"/>
    <w:basedOn w:val="BodyText"/>
    <w:rsid w:val="00D803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3DF"/>
    <w:pPr>
      <w:framePr w:wrap="auto" w:hAnchor="text" w:y="6049"/>
    </w:pPr>
    <w:rPr>
      <w:color w:val="000000"/>
      <w:sz w:val="40"/>
    </w:rPr>
  </w:style>
  <w:style w:type="paragraph" w:customStyle="1" w:styleId="TOCTitle">
    <w:name w:val="TOCTitle"/>
    <w:basedOn w:val="Heading1"/>
    <w:rsid w:val="00D803DF"/>
    <w:pPr>
      <w:spacing w:after="240"/>
      <w:jc w:val="center"/>
      <w:outlineLvl w:val="9"/>
    </w:pPr>
    <w:rPr>
      <w:caps/>
    </w:rPr>
  </w:style>
  <w:style w:type="paragraph" w:customStyle="1" w:styleId="Version">
    <w:name w:val="Version"/>
    <w:rsid w:val="00D803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3DF"/>
    <w:pPr>
      <w:keepNext w:val="0"/>
      <w:tabs>
        <w:tab w:val="right" w:pos="4176"/>
      </w:tabs>
      <w:ind w:left="198" w:hanging="198"/>
    </w:pPr>
    <w:rPr>
      <w:rFonts w:ascii="Garamond" w:hAnsi="Garamond"/>
    </w:rPr>
  </w:style>
  <w:style w:type="paragraph" w:styleId="IndexHeading">
    <w:name w:val="index heading"/>
    <w:basedOn w:val="Normal"/>
    <w:next w:val="Index1"/>
    <w:semiHidden/>
    <w:rsid w:val="00D803DF"/>
    <w:pPr>
      <w:spacing w:before="120" w:after="120"/>
    </w:pPr>
    <w:rPr>
      <w:rFonts w:ascii="Arial" w:hAnsi="Arial"/>
      <w:b/>
      <w:color w:val="918585"/>
      <w:sz w:val="24"/>
    </w:rPr>
  </w:style>
  <w:style w:type="paragraph" w:styleId="Header">
    <w:name w:val="header"/>
    <w:basedOn w:val="Normal"/>
    <w:link w:val="HeaderChar"/>
    <w:rsid w:val="00D803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3DF"/>
    <w:rPr>
      <w:rFonts w:ascii="Times New Roman" w:eastAsia="Times New Roman" w:hAnsi="Times New Roman" w:cs="Times New Roman"/>
      <w:sz w:val="16"/>
      <w:szCs w:val="20"/>
      <w:lang w:val="en-GB" w:eastAsia="en-US"/>
    </w:rPr>
  </w:style>
  <w:style w:type="paragraph" w:customStyle="1" w:styleId="Chapter">
    <w:name w:val="Chapter"/>
    <w:basedOn w:val="Normal"/>
    <w:rsid w:val="00D803DF"/>
    <w:pPr>
      <w:spacing w:before="240"/>
    </w:pPr>
    <w:rPr>
      <w:rFonts w:ascii="Times New Roman" w:hAnsi="Times New Roman"/>
      <w:smallCaps/>
      <w:spacing w:val="80"/>
      <w:sz w:val="28"/>
    </w:rPr>
  </w:style>
  <w:style w:type="paragraph" w:customStyle="1" w:styleId="InChapter">
    <w:name w:val="InChapter"/>
    <w:basedOn w:val="Heading3"/>
    <w:rsid w:val="00D803DF"/>
    <w:pPr>
      <w:spacing w:after="240"/>
      <w:outlineLvl w:val="9"/>
    </w:pPr>
    <w:rPr>
      <w:noProof/>
    </w:rPr>
  </w:style>
  <w:style w:type="paragraph" w:styleId="Index2">
    <w:name w:val="index 2"/>
    <w:basedOn w:val="Normal"/>
    <w:next w:val="Normal"/>
    <w:semiHidden/>
    <w:rsid w:val="00D803DF"/>
    <w:pPr>
      <w:tabs>
        <w:tab w:val="right" w:pos="4176"/>
      </w:tabs>
      <w:ind w:left="568" w:hanging="284"/>
    </w:pPr>
    <w:rPr>
      <w:rFonts w:ascii="Garamond" w:hAnsi="Garamond"/>
    </w:rPr>
  </w:style>
  <w:style w:type="paragraph" w:customStyle="1" w:styleId="Byline">
    <w:name w:val="Byline"/>
    <w:rsid w:val="00D803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3DF"/>
    <w:pPr>
      <w:tabs>
        <w:tab w:val="clear" w:pos="3600"/>
        <w:tab w:val="clear" w:pos="3958"/>
      </w:tabs>
      <w:jc w:val="right"/>
    </w:pPr>
  </w:style>
  <w:style w:type="character" w:styleId="Emphasis">
    <w:name w:val="Emphasis"/>
    <w:basedOn w:val="DefaultParagraphFont"/>
    <w:qFormat/>
    <w:rsid w:val="00D803DF"/>
    <w:rPr>
      <w:i/>
    </w:rPr>
  </w:style>
  <w:style w:type="paragraph" w:styleId="Caption">
    <w:name w:val="caption"/>
    <w:basedOn w:val="BodyText"/>
    <w:next w:val="Normal"/>
    <w:qFormat/>
    <w:rsid w:val="00D803DF"/>
    <w:pPr>
      <w:framePr w:w="2268" w:hSpace="181" w:vSpace="181" w:wrap="around" w:vAnchor="text" w:hAnchor="page" w:x="1135" w:y="285" w:anchorLock="1"/>
    </w:pPr>
    <w:rPr>
      <w:i/>
    </w:rPr>
  </w:style>
  <w:style w:type="paragraph" w:customStyle="1" w:styleId="MiniTOCTitle">
    <w:name w:val="MiniTOCTitle"/>
    <w:basedOn w:val="Heading4"/>
    <w:rsid w:val="00D803DF"/>
    <w:pPr>
      <w:spacing w:before="240"/>
      <w:outlineLvl w:val="9"/>
    </w:pPr>
    <w:rPr>
      <w:noProof/>
      <w:sz w:val="24"/>
    </w:rPr>
  </w:style>
  <w:style w:type="paragraph" w:customStyle="1" w:styleId="MiniTOCItem">
    <w:name w:val="MiniTOCItem"/>
    <w:basedOn w:val="ListBullet"/>
    <w:rsid w:val="00D803DF"/>
    <w:pPr>
      <w:numPr>
        <w:numId w:val="0"/>
      </w:numPr>
      <w:tabs>
        <w:tab w:val="right" w:leader="dot" w:pos="6521"/>
      </w:tabs>
      <w:spacing w:before="0" w:after="0"/>
    </w:pPr>
  </w:style>
  <w:style w:type="paragraph" w:customStyle="1" w:styleId="TOFTitle">
    <w:name w:val="TOFTitle"/>
    <w:basedOn w:val="TOCTitle"/>
    <w:rsid w:val="00D803DF"/>
  </w:style>
  <w:style w:type="paragraph" w:styleId="TableofFigures">
    <w:name w:val="table of figures"/>
    <w:basedOn w:val="Normal"/>
    <w:next w:val="Normal"/>
    <w:semiHidden/>
    <w:rsid w:val="00D803DF"/>
    <w:pPr>
      <w:tabs>
        <w:tab w:val="right" w:leader="dot" w:pos="9072"/>
      </w:tabs>
      <w:ind w:left="970" w:hanging="403"/>
    </w:pPr>
    <w:rPr>
      <w:rFonts w:ascii="Times New Roman" w:hAnsi="Times New Roman"/>
      <w:b/>
    </w:rPr>
  </w:style>
  <w:style w:type="paragraph" w:styleId="ListNumber">
    <w:name w:val="List Number"/>
    <w:basedOn w:val="List"/>
    <w:rsid w:val="00D803DF"/>
    <w:pPr>
      <w:numPr>
        <w:numId w:val="15"/>
      </w:numPr>
      <w:tabs>
        <w:tab w:val="clear" w:pos="340"/>
      </w:tabs>
    </w:pPr>
  </w:style>
  <w:style w:type="character" w:customStyle="1" w:styleId="WingdingSymbols">
    <w:name w:val="Wingding Symbols"/>
    <w:rsid w:val="00D803DF"/>
    <w:rPr>
      <w:rFonts w:ascii="Wingdings" w:hAnsi="Wingdings"/>
    </w:rPr>
  </w:style>
  <w:style w:type="paragraph" w:customStyle="1" w:styleId="TableHeading">
    <w:name w:val="Table Heading"/>
    <w:basedOn w:val="HeadingBase"/>
    <w:rsid w:val="00D803DF"/>
    <w:pPr>
      <w:keepLines/>
      <w:pBdr>
        <w:bottom w:val="single" w:sz="6" w:space="1" w:color="918585"/>
      </w:pBdr>
      <w:spacing w:before="240"/>
    </w:pPr>
  </w:style>
  <w:style w:type="character" w:customStyle="1" w:styleId="HotSpot">
    <w:name w:val="HotSpot"/>
    <w:rsid w:val="00D803DF"/>
    <w:rPr>
      <w:color w:val="0033CC"/>
      <w:u w:val="none"/>
    </w:rPr>
  </w:style>
  <w:style w:type="paragraph" w:customStyle="1" w:styleId="BodyTextRight">
    <w:name w:val="Body Text Right"/>
    <w:basedOn w:val="BodyText"/>
    <w:rsid w:val="00D803DF"/>
    <w:pPr>
      <w:spacing w:before="0" w:after="0"/>
      <w:jc w:val="right"/>
    </w:pPr>
  </w:style>
  <w:style w:type="paragraph" w:styleId="Index3">
    <w:name w:val="index 3"/>
    <w:basedOn w:val="ListNumber2"/>
    <w:next w:val="Normal"/>
    <w:semiHidden/>
    <w:rsid w:val="00D803DF"/>
    <w:pPr>
      <w:numPr>
        <w:numId w:val="0"/>
      </w:numPr>
      <w:tabs>
        <w:tab w:val="right" w:leader="dot" w:pos="4176"/>
      </w:tabs>
    </w:pPr>
  </w:style>
  <w:style w:type="paragraph" w:styleId="ListNumber2">
    <w:name w:val="List Number 2"/>
    <w:basedOn w:val="List2"/>
    <w:rsid w:val="00D803DF"/>
    <w:pPr>
      <w:numPr>
        <w:numId w:val="10"/>
      </w:numPr>
      <w:tabs>
        <w:tab w:val="clear" w:pos="1060"/>
      </w:tabs>
    </w:pPr>
  </w:style>
  <w:style w:type="paragraph" w:customStyle="1" w:styleId="MarginNote">
    <w:name w:val="Margin Note"/>
    <w:basedOn w:val="BodyText"/>
    <w:rsid w:val="00D803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3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3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3DF"/>
    <w:rPr>
      <w:sz w:val="32"/>
    </w:rPr>
  </w:style>
  <w:style w:type="paragraph" w:customStyle="1" w:styleId="HeadingProcedure">
    <w:name w:val="Heading Procedure"/>
    <w:basedOn w:val="HeadingBase"/>
    <w:next w:val="Normal"/>
    <w:rsid w:val="00D803DF"/>
    <w:pPr>
      <w:tabs>
        <w:tab w:val="left" w:pos="0"/>
      </w:tabs>
      <w:spacing w:before="120" w:after="60"/>
    </w:pPr>
    <w:rPr>
      <w:i/>
      <w:color w:val="918585"/>
      <w:sz w:val="22"/>
    </w:rPr>
  </w:style>
  <w:style w:type="paragraph" w:customStyle="1" w:styleId="TableBodyText">
    <w:name w:val="Table Body Text"/>
    <w:basedOn w:val="BodyText"/>
    <w:rsid w:val="00D803DF"/>
    <w:pPr>
      <w:spacing w:before="60" w:after="60"/>
    </w:pPr>
  </w:style>
  <w:style w:type="paragraph" w:styleId="ListContinue">
    <w:name w:val="List Continue"/>
    <w:basedOn w:val="List"/>
    <w:rsid w:val="00D803DF"/>
    <w:pPr>
      <w:ind w:firstLine="0"/>
    </w:pPr>
  </w:style>
  <w:style w:type="paragraph" w:customStyle="1" w:styleId="ListNote">
    <w:name w:val="List Note"/>
    <w:basedOn w:val="List"/>
    <w:rsid w:val="00D803DF"/>
    <w:pPr>
      <w:pBdr>
        <w:top w:val="single" w:sz="6" w:space="2" w:color="918585"/>
        <w:bottom w:val="single" w:sz="6" w:space="2" w:color="918585"/>
      </w:pBdr>
      <w:tabs>
        <w:tab w:val="left" w:pos="1021"/>
      </w:tabs>
      <w:ind w:firstLine="0"/>
    </w:pPr>
  </w:style>
  <w:style w:type="paragraph" w:customStyle="1" w:styleId="Warning">
    <w:name w:val="Warning"/>
    <w:basedOn w:val="BodyText"/>
    <w:rsid w:val="00D803DF"/>
    <w:pPr>
      <w:shd w:val="clear" w:color="auto" w:fill="D9D9D9"/>
      <w:tabs>
        <w:tab w:val="left" w:pos="992"/>
      </w:tabs>
      <w:ind w:left="119" w:right="119"/>
    </w:pPr>
    <w:rPr>
      <w:sz w:val="20"/>
    </w:rPr>
  </w:style>
  <w:style w:type="paragraph" w:customStyle="1" w:styleId="MarginIcons">
    <w:name w:val="Margin Icons"/>
    <w:basedOn w:val="BodyText"/>
    <w:rsid w:val="00D803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3DF"/>
    <w:rPr>
      <w:rFonts w:ascii="Courier New" w:hAnsi="Courier New"/>
    </w:rPr>
  </w:style>
  <w:style w:type="paragraph" w:customStyle="1" w:styleId="NoteBullet">
    <w:name w:val="Note Bullet"/>
    <w:basedOn w:val="Note"/>
    <w:rsid w:val="00D803DF"/>
    <w:pPr>
      <w:tabs>
        <w:tab w:val="clear" w:pos="680"/>
      </w:tabs>
      <w:spacing w:before="60" w:after="60"/>
    </w:pPr>
  </w:style>
  <w:style w:type="paragraph" w:customStyle="1" w:styleId="SubHeading2">
    <w:name w:val="SubHeading2"/>
    <w:basedOn w:val="HeadingBase"/>
    <w:rsid w:val="00D803DF"/>
    <w:pPr>
      <w:spacing w:before="240" w:after="60"/>
    </w:pPr>
    <w:rPr>
      <w:sz w:val="20"/>
    </w:rPr>
  </w:style>
  <w:style w:type="paragraph" w:customStyle="1" w:styleId="SubHeading1">
    <w:name w:val="SubHeading1"/>
    <w:basedOn w:val="HeadingBase"/>
    <w:rsid w:val="00D803DF"/>
    <w:pPr>
      <w:spacing w:before="240" w:after="60"/>
    </w:pPr>
    <w:rPr>
      <w:color w:val="918585"/>
      <w:sz w:val="22"/>
    </w:rPr>
  </w:style>
  <w:style w:type="paragraph" w:customStyle="1" w:styleId="SideHeading">
    <w:name w:val="Side Heading"/>
    <w:basedOn w:val="HeadingBase"/>
    <w:rsid w:val="00D803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3DF"/>
    <w:pPr>
      <w:tabs>
        <w:tab w:val="num" w:pos="360"/>
      </w:tabs>
    </w:pPr>
  </w:style>
  <w:style w:type="paragraph" w:styleId="PlainText">
    <w:name w:val="Plain Text"/>
    <w:basedOn w:val="Normal"/>
    <w:link w:val="PlainTextChar"/>
    <w:rsid w:val="00D803DF"/>
    <w:rPr>
      <w:sz w:val="20"/>
    </w:rPr>
  </w:style>
  <w:style w:type="character" w:customStyle="1" w:styleId="PlainTextChar">
    <w:name w:val="Plain Text Char"/>
    <w:basedOn w:val="DefaultParagraphFont"/>
    <w:link w:val="PlainText"/>
    <w:rsid w:val="00D803DF"/>
    <w:rPr>
      <w:rFonts w:ascii="Courier New" w:eastAsia="Times New Roman" w:hAnsi="Courier New" w:cs="Times New Roman"/>
      <w:sz w:val="20"/>
      <w:szCs w:val="20"/>
      <w:lang w:eastAsia="en-US"/>
    </w:rPr>
  </w:style>
  <w:style w:type="character" w:customStyle="1" w:styleId="MenuOption">
    <w:name w:val="Menu Option"/>
    <w:basedOn w:val="DefaultParagraphFont"/>
    <w:rsid w:val="00D803DF"/>
    <w:rPr>
      <w:b/>
      <w:smallCaps/>
    </w:rPr>
  </w:style>
  <w:style w:type="paragraph" w:customStyle="1" w:styleId="TableListNumber">
    <w:name w:val="Table List Number"/>
    <w:basedOn w:val="ListNumber"/>
    <w:rsid w:val="00D803DF"/>
    <w:pPr>
      <w:numPr>
        <w:numId w:val="0"/>
      </w:numPr>
    </w:pPr>
  </w:style>
  <w:style w:type="paragraph" w:styleId="TOC4">
    <w:name w:val="toc 4"/>
    <w:basedOn w:val="TOCBase"/>
    <w:next w:val="Normal"/>
    <w:semiHidden/>
    <w:rsid w:val="00D803DF"/>
    <w:pPr>
      <w:tabs>
        <w:tab w:val="right" w:leader="dot" w:pos="9071"/>
      </w:tabs>
      <w:ind w:left="1701"/>
    </w:pPr>
  </w:style>
  <w:style w:type="paragraph" w:customStyle="1" w:styleId="ListAlpha">
    <w:name w:val="List Alpha"/>
    <w:basedOn w:val="List"/>
    <w:rsid w:val="00D803DF"/>
    <w:pPr>
      <w:numPr>
        <w:numId w:val="9"/>
      </w:numPr>
    </w:pPr>
  </w:style>
  <w:style w:type="paragraph" w:customStyle="1" w:styleId="ListAlpha2">
    <w:name w:val="List Alpha 2"/>
    <w:basedOn w:val="List2"/>
    <w:rsid w:val="00D803DF"/>
    <w:pPr>
      <w:numPr>
        <w:numId w:val="8"/>
      </w:numPr>
    </w:pPr>
  </w:style>
  <w:style w:type="paragraph" w:styleId="List2">
    <w:name w:val="List 2"/>
    <w:basedOn w:val="BodyText"/>
    <w:rsid w:val="00D803DF"/>
    <w:pPr>
      <w:tabs>
        <w:tab w:val="left" w:pos="680"/>
      </w:tabs>
      <w:spacing w:before="60" w:after="60"/>
      <w:ind w:left="680" w:hanging="340"/>
    </w:pPr>
  </w:style>
  <w:style w:type="paragraph" w:styleId="List3">
    <w:name w:val="List 3"/>
    <w:basedOn w:val="BodyText"/>
    <w:rsid w:val="00D803DF"/>
    <w:pPr>
      <w:tabs>
        <w:tab w:val="left" w:pos="1021"/>
      </w:tabs>
      <w:spacing w:before="60" w:after="60"/>
      <w:ind w:left="1020" w:hanging="340"/>
    </w:pPr>
  </w:style>
  <w:style w:type="paragraph" w:styleId="List4">
    <w:name w:val="List 4"/>
    <w:basedOn w:val="BodyText"/>
    <w:rsid w:val="00D803DF"/>
    <w:pPr>
      <w:tabs>
        <w:tab w:val="left" w:pos="1361"/>
      </w:tabs>
      <w:spacing w:before="60" w:after="60"/>
      <w:ind w:left="1361" w:hanging="340"/>
    </w:pPr>
  </w:style>
  <w:style w:type="paragraph" w:styleId="List5">
    <w:name w:val="List 5"/>
    <w:basedOn w:val="BodyText"/>
    <w:rsid w:val="00D803DF"/>
    <w:pPr>
      <w:tabs>
        <w:tab w:val="left" w:pos="1701"/>
      </w:tabs>
      <w:spacing w:before="60" w:after="60"/>
      <w:ind w:left="1701" w:hanging="340"/>
    </w:pPr>
  </w:style>
  <w:style w:type="paragraph" w:styleId="ListBullet3">
    <w:name w:val="List Bullet 3"/>
    <w:basedOn w:val="List3"/>
    <w:rsid w:val="00D803DF"/>
    <w:pPr>
      <w:numPr>
        <w:numId w:val="14"/>
      </w:numPr>
      <w:tabs>
        <w:tab w:val="clear" w:pos="1021"/>
      </w:tabs>
      <w:ind w:left="1037" w:hanging="357"/>
    </w:pPr>
  </w:style>
  <w:style w:type="paragraph" w:styleId="ListBullet4">
    <w:name w:val="List Bullet 4"/>
    <w:basedOn w:val="List4"/>
    <w:rsid w:val="00D803DF"/>
    <w:pPr>
      <w:numPr>
        <w:numId w:val="3"/>
      </w:numPr>
      <w:tabs>
        <w:tab w:val="clear" w:pos="1361"/>
      </w:tabs>
    </w:pPr>
  </w:style>
  <w:style w:type="paragraph" w:styleId="ListBullet5">
    <w:name w:val="List Bullet 5"/>
    <w:basedOn w:val="List5"/>
    <w:rsid w:val="00D803DF"/>
    <w:pPr>
      <w:numPr>
        <w:numId w:val="4"/>
      </w:numPr>
    </w:pPr>
  </w:style>
  <w:style w:type="paragraph" w:styleId="ListContinue2">
    <w:name w:val="List Continue 2"/>
    <w:basedOn w:val="List2"/>
    <w:rsid w:val="00D803DF"/>
    <w:pPr>
      <w:ind w:firstLine="0"/>
    </w:pPr>
  </w:style>
  <w:style w:type="paragraph" w:styleId="ListContinue3">
    <w:name w:val="List Continue 3"/>
    <w:basedOn w:val="List3"/>
    <w:rsid w:val="00D803DF"/>
    <w:pPr>
      <w:ind w:left="1021" w:firstLine="0"/>
    </w:pPr>
  </w:style>
  <w:style w:type="paragraph" w:styleId="ListContinue4">
    <w:name w:val="List Continue 4"/>
    <w:basedOn w:val="List4"/>
    <w:rsid w:val="00D803DF"/>
    <w:pPr>
      <w:ind w:firstLine="0"/>
    </w:pPr>
  </w:style>
  <w:style w:type="paragraph" w:styleId="ListContinue5">
    <w:name w:val="List Continue 5"/>
    <w:basedOn w:val="List5"/>
    <w:rsid w:val="00D803DF"/>
    <w:pPr>
      <w:ind w:firstLine="0"/>
    </w:pPr>
  </w:style>
  <w:style w:type="paragraph" w:styleId="ListNumber3">
    <w:name w:val="List Number 3"/>
    <w:basedOn w:val="List3"/>
    <w:rsid w:val="00D803DF"/>
    <w:pPr>
      <w:numPr>
        <w:numId w:val="5"/>
      </w:numPr>
    </w:pPr>
  </w:style>
  <w:style w:type="paragraph" w:styleId="ListNumber4">
    <w:name w:val="List Number 4"/>
    <w:basedOn w:val="List4"/>
    <w:rsid w:val="00D803DF"/>
    <w:pPr>
      <w:numPr>
        <w:numId w:val="6"/>
      </w:numPr>
    </w:pPr>
  </w:style>
  <w:style w:type="paragraph" w:styleId="ListNumber5">
    <w:name w:val="List Number 5"/>
    <w:basedOn w:val="List5"/>
    <w:rsid w:val="00D803DF"/>
    <w:pPr>
      <w:numPr>
        <w:numId w:val="7"/>
      </w:numPr>
    </w:pPr>
  </w:style>
  <w:style w:type="paragraph" w:styleId="BlockText">
    <w:name w:val="Block Text"/>
    <w:basedOn w:val="Normal"/>
    <w:rsid w:val="00D803DF"/>
    <w:pPr>
      <w:spacing w:after="120"/>
      <w:ind w:left="1440" w:right="1440"/>
    </w:pPr>
  </w:style>
  <w:style w:type="character" w:customStyle="1" w:styleId="Subscript">
    <w:name w:val="Subscript"/>
    <w:basedOn w:val="DefaultParagraphFont"/>
    <w:rsid w:val="00D803DF"/>
    <w:rPr>
      <w:sz w:val="16"/>
      <w:vertAlign w:val="subscript"/>
    </w:rPr>
  </w:style>
  <w:style w:type="character" w:customStyle="1" w:styleId="Superscript">
    <w:name w:val="Superscript"/>
    <w:basedOn w:val="DefaultParagraphFont"/>
    <w:rsid w:val="00D803DF"/>
    <w:rPr>
      <w:sz w:val="16"/>
      <w:vertAlign w:val="superscript"/>
    </w:rPr>
  </w:style>
  <w:style w:type="character" w:customStyle="1" w:styleId="Symbols">
    <w:name w:val="Symbols"/>
    <w:basedOn w:val="DefaultParagraphFont"/>
    <w:rsid w:val="00D803DF"/>
    <w:rPr>
      <w:rFonts w:ascii="Symbol" w:hAnsi="Symbol"/>
    </w:rPr>
  </w:style>
  <w:style w:type="character" w:customStyle="1" w:styleId="MenuOptions">
    <w:name w:val="Menu Options"/>
    <w:basedOn w:val="DefaultParagraphFont"/>
    <w:rsid w:val="00D803DF"/>
    <w:rPr>
      <w:rFonts w:ascii="Arial Narrow" w:hAnsi="Arial Narrow"/>
      <w:smallCaps/>
    </w:rPr>
  </w:style>
  <w:style w:type="character" w:customStyle="1" w:styleId="Buttons">
    <w:name w:val="Buttons"/>
    <w:basedOn w:val="DefaultParagraphFont"/>
    <w:rsid w:val="00D803DF"/>
    <w:rPr>
      <w:b/>
    </w:rPr>
  </w:style>
  <w:style w:type="character" w:customStyle="1" w:styleId="Underlined">
    <w:name w:val="Underlined"/>
    <w:basedOn w:val="DefaultParagraphFont"/>
    <w:rsid w:val="00D803DF"/>
    <w:rPr>
      <w:u w:val="single"/>
    </w:rPr>
  </w:style>
  <w:style w:type="paragraph" w:customStyle="1" w:styleId="TableBodyTextRight">
    <w:name w:val="Table Body Text Right"/>
    <w:basedOn w:val="TableBodyText"/>
    <w:rsid w:val="00D803DF"/>
    <w:pPr>
      <w:widowControl w:val="0"/>
      <w:autoSpaceDE w:val="0"/>
      <w:autoSpaceDN w:val="0"/>
      <w:adjustRightInd w:val="0"/>
      <w:jc w:val="right"/>
    </w:pPr>
    <w:rPr>
      <w:rFonts w:cs="Arial"/>
      <w:szCs w:val="18"/>
    </w:rPr>
  </w:style>
  <w:style w:type="paragraph" w:customStyle="1" w:styleId="CopyrightText">
    <w:name w:val="Copyright Text"/>
    <w:basedOn w:val="BodyText"/>
    <w:rsid w:val="00D803DF"/>
    <w:rPr>
      <w:sz w:val="18"/>
    </w:rPr>
  </w:style>
  <w:style w:type="paragraph" w:customStyle="1" w:styleId="BodySmallRight">
    <w:name w:val="Body Small Right"/>
    <w:basedOn w:val="BodyTextRight"/>
    <w:rsid w:val="00D803DF"/>
    <w:rPr>
      <w:sz w:val="18"/>
      <w:szCs w:val="18"/>
    </w:rPr>
  </w:style>
  <w:style w:type="paragraph" w:customStyle="1" w:styleId="MarginEdition">
    <w:name w:val="Margin Edition"/>
    <w:basedOn w:val="MarginNote"/>
    <w:rsid w:val="00D803DF"/>
    <w:pPr>
      <w:spacing w:before="0" w:after="0"/>
    </w:pPr>
    <w:rPr>
      <w:rFonts w:ascii="Times New Roman" w:hAnsi="Times New Roman"/>
      <w:color w:val="999999"/>
    </w:rPr>
  </w:style>
  <w:style w:type="paragraph" w:customStyle="1" w:styleId="Spacer">
    <w:name w:val="Spacer"/>
    <w:basedOn w:val="Normal"/>
    <w:rsid w:val="00D803DF"/>
    <w:rPr>
      <w:sz w:val="2"/>
      <w:szCs w:val="2"/>
    </w:rPr>
  </w:style>
  <w:style w:type="character" w:customStyle="1" w:styleId="Small">
    <w:name w:val="Small"/>
    <w:basedOn w:val="DefaultParagraphFont"/>
    <w:rsid w:val="00D803DF"/>
    <w:rPr>
      <w:sz w:val="16"/>
    </w:rPr>
  </w:style>
  <w:style w:type="paragraph" w:customStyle="1" w:styleId="WideTable">
    <w:name w:val="Wide Table"/>
    <w:basedOn w:val="Normal"/>
    <w:rsid w:val="00D803DF"/>
    <w:pPr>
      <w:ind w:left="-1418"/>
    </w:pPr>
    <w:rPr>
      <w:sz w:val="2"/>
      <w:szCs w:val="2"/>
    </w:rPr>
  </w:style>
  <w:style w:type="character" w:styleId="PageNumber">
    <w:name w:val="page number"/>
    <w:basedOn w:val="DefaultParagraphFont"/>
    <w:rsid w:val="00D803DF"/>
  </w:style>
  <w:style w:type="paragraph" w:styleId="Quote">
    <w:name w:val="Quote"/>
    <w:basedOn w:val="Heading1"/>
    <w:link w:val="QuoteChar"/>
    <w:qFormat/>
    <w:rsid w:val="00D803DF"/>
    <w:rPr>
      <w:b w:val="0"/>
      <w:sz w:val="72"/>
      <w:szCs w:val="72"/>
      <w:lang w:val="en-NZ"/>
    </w:rPr>
  </w:style>
  <w:style w:type="character" w:customStyle="1" w:styleId="QuoteChar">
    <w:name w:val="Quote Char"/>
    <w:basedOn w:val="DefaultParagraphFont"/>
    <w:link w:val="Quote"/>
    <w:rsid w:val="00D803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3DF"/>
    <w:pPr>
      <w:pageBreakBefore/>
    </w:pPr>
  </w:style>
  <w:style w:type="paragraph" w:customStyle="1" w:styleId="Border">
    <w:name w:val="Border"/>
    <w:basedOn w:val="Normal"/>
    <w:qFormat/>
    <w:rsid w:val="00D803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3DF"/>
    <w:rPr>
      <w:b/>
      <w:bCs/>
      <w:i/>
      <w:iCs/>
      <w:color w:val="auto"/>
    </w:rPr>
  </w:style>
  <w:style w:type="paragraph" w:styleId="IntenseQuote">
    <w:name w:val="Intense Quote"/>
    <w:basedOn w:val="Normal"/>
    <w:next w:val="Normal"/>
    <w:link w:val="IntenseQuoteChar"/>
    <w:uiPriority w:val="30"/>
    <w:qFormat/>
    <w:rsid w:val="00D803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3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3DF"/>
    <w:rPr>
      <w:smallCaps/>
      <w:color w:val="auto"/>
      <w:u w:val="single"/>
    </w:rPr>
  </w:style>
  <w:style w:type="character" w:styleId="IntenseReference">
    <w:name w:val="Intense Reference"/>
    <w:basedOn w:val="DefaultParagraphFont"/>
    <w:uiPriority w:val="32"/>
    <w:qFormat/>
    <w:rsid w:val="00D803DF"/>
    <w:rPr>
      <w:b/>
      <w:bCs/>
      <w:smallCaps/>
      <w:color w:val="auto"/>
      <w:spacing w:val="5"/>
      <w:u w:val="single"/>
    </w:rPr>
  </w:style>
  <w:style w:type="paragraph" w:customStyle="1" w:styleId="2ColumnHeading">
    <w:name w:val="2Column Heading"/>
    <w:basedOn w:val="BodyText"/>
    <w:qFormat/>
    <w:rsid w:val="00D803DF"/>
    <w:pPr>
      <w:spacing w:after="60"/>
      <w:ind w:left="-2268"/>
    </w:pPr>
    <w:rPr>
      <w:b/>
    </w:rPr>
  </w:style>
  <w:style w:type="paragraph" w:customStyle="1" w:styleId="Heading1TOC">
    <w:name w:val="Heading1 TOC"/>
    <w:basedOn w:val="Normal"/>
    <w:qFormat/>
    <w:rsid w:val="00D803DF"/>
    <w:pPr>
      <w:spacing w:before="240" w:after="120"/>
    </w:pPr>
    <w:rPr>
      <w:rFonts w:ascii="Times New Roman" w:hAnsi="Times New Roman"/>
      <w:b/>
      <w:sz w:val="32"/>
    </w:rPr>
  </w:style>
  <w:style w:type="paragraph" w:customStyle="1" w:styleId="Heading2TOC">
    <w:name w:val="Heading2 TOC"/>
    <w:basedOn w:val="Normal"/>
    <w:qFormat/>
    <w:rsid w:val="00D803DF"/>
    <w:pPr>
      <w:spacing w:before="240" w:after="60"/>
    </w:pPr>
    <w:rPr>
      <w:rFonts w:ascii="Times New Roman" w:hAnsi="Times New Roman"/>
      <w:b/>
      <w:sz w:val="28"/>
    </w:rPr>
  </w:style>
  <w:style w:type="character" w:customStyle="1" w:styleId="Underline">
    <w:name w:val="Underline"/>
    <w:basedOn w:val="DefaultParagraphFont"/>
    <w:qFormat/>
    <w:rsid w:val="00D803DF"/>
    <w:rPr>
      <w:u w:val="single"/>
    </w:rPr>
  </w:style>
  <w:style w:type="character" w:customStyle="1" w:styleId="BoldandItalics">
    <w:name w:val="Bold and Italics"/>
    <w:qFormat/>
    <w:rsid w:val="00D803DF"/>
    <w:rPr>
      <w:b/>
      <w:i/>
      <w:u w:val="none"/>
    </w:rPr>
  </w:style>
  <w:style w:type="paragraph" w:styleId="BalloonText">
    <w:name w:val="Balloon Text"/>
    <w:basedOn w:val="Normal"/>
    <w:link w:val="BalloonTextChar"/>
    <w:rsid w:val="00D803DF"/>
    <w:rPr>
      <w:rFonts w:ascii="Tahoma" w:hAnsi="Tahoma" w:cs="Tahoma"/>
      <w:sz w:val="16"/>
      <w:szCs w:val="16"/>
    </w:rPr>
  </w:style>
  <w:style w:type="character" w:customStyle="1" w:styleId="BalloonTextChar">
    <w:name w:val="Balloon Text Char"/>
    <w:basedOn w:val="DefaultParagraphFont"/>
    <w:link w:val="BalloonText"/>
    <w:rsid w:val="00D803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3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3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3DF"/>
    <w:rPr>
      <w:b/>
      <w:color w:val="660033"/>
      <w:spacing w:val="0"/>
    </w:rPr>
  </w:style>
  <w:style w:type="paragraph" w:customStyle="1" w:styleId="Nameditemlist">
    <w:name w:val="Named item list"/>
    <w:basedOn w:val="BodyText"/>
    <w:qFormat/>
    <w:rsid w:val="00D803DF"/>
    <w:pPr>
      <w:tabs>
        <w:tab w:val="left" w:pos="2835"/>
      </w:tabs>
      <w:ind w:left="2835" w:hanging="2835"/>
    </w:pPr>
  </w:style>
  <w:style w:type="paragraph" w:customStyle="1" w:styleId="BodyTextnopadding">
    <w:name w:val="Body Text no padding"/>
    <w:basedOn w:val="BodyText"/>
    <w:qFormat/>
    <w:rsid w:val="00D803DF"/>
    <w:pPr>
      <w:spacing w:before="0" w:after="0"/>
    </w:pPr>
  </w:style>
  <w:style w:type="paragraph" w:customStyle="1" w:styleId="BodyTextBold">
    <w:name w:val="Body Text Bold"/>
    <w:basedOn w:val="BodyText"/>
    <w:qFormat/>
    <w:rsid w:val="00D803DF"/>
    <w:rPr>
      <w:b/>
    </w:rPr>
  </w:style>
  <w:style w:type="character" w:styleId="Hyperlink">
    <w:name w:val="Hyperlink"/>
    <w:basedOn w:val="DefaultParagraphFont"/>
    <w:uiPriority w:val="99"/>
    <w:unhideWhenUsed/>
    <w:rsid w:val="00AF22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3770</Characters>
  <Application>Microsoft Office Word</Application>
  <DocSecurity>0</DocSecurity>
  <Lines>171</Lines>
  <Paragraphs>96</Paragraphs>
  <ScaleCrop>false</ScaleCrop>
  <Company>Author-it Software Corporation Ltd.</Company>
  <LinksUpToDate>false</LinksUpToDate>
  <CharactersWithSpaces>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MEM15010 Perform laboratory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2023-02-03T06:45:00Z</dcterms:created>
  <dcterms:modified xsi:type="dcterms:W3CDTF">2023-02-03T06:45:00Z</dcterms:modified>
</cp:coreProperties>
</file>