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D97" w:rsidP="005A5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MEM15007 Conduct product and/or process capability studies</w:t>
      </w:r>
      <w:r>
        <w:fldChar w:fldCharType="end"/>
      </w:r>
    </w:p>
    <w:p w:rsidR="005A5D97" w:rsidP="005A5D97">
      <w:pPr>
        <w:pStyle w:val="Version"/>
        <w:sectPr w:rsidSect="00B91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056" w:rsidP="00B91056">
      <w:pPr>
        <w:pStyle w:val="SuperHeading"/>
      </w:pPr>
      <w:r w:rsidRPr="00B91056">
        <w:t>Assessment Requirements for MEM15007 Conduct product and/or process capability studies</w:t>
      </w:r>
    </w:p>
    <w:p w:rsidR="00000000" w:rsidRPr="00B91056" w:rsidP="00B91056">
      <w:pPr>
        <w:pStyle w:val="Heading1"/>
      </w:pPr>
      <w:bookmarkStart w:id="1" w:name="O_952998"/>
      <w:bookmarkEnd w:id="1"/>
      <w:r w:rsidRPr="00B91056">
        <w:t>Modification History</w:t>
      </w:r>
    </w:p>
    <w:p w:rsidR="00000000" w:rsidRPr="00B91056" w:rsidP="005A5D97">
      <w:pPr>
        <w:pStyle w:val="BodyText"/>
      </w:pPr>
      <w:r w:rsidRPr="00B91056">
        <w:t xml:space="preserve">Release 1. Supersedes and is equivalent to MEM15007B Conduct product and/or process capability studies </w:t>
      </w:r>
    </w:p>
    <w:p w:rsidR="00000000" w:rsidRPr="00B91056" w:rsidP="00B91056">
      <w:pPr>
        <w:pStyle w:val="Heading1"/>
      </w:pPr>
      <w:bookmarkStart w:id="2" w:name="O_953001"/>
      <w:bookmarkEnd w:id="2"/>
      <w:r w:rsidRPr="00B91056">
        <w:t>Performance Evidence</w:t>
      </w:r>
    </w:p>
    <w:p w:rsidR="00000000" w:rsidRPr="00B91056" w:rsidP="005A5D97">
      <w:pPr>
        <w:pStyle w:val="BodyText"/>
      </w:pPr>
      <w:r w:rsidRPr="00B91056">
        <w:t>Evidence required to demonstrate competence in this unit must be relevant to and satisfy the requirements of the elements and performance criteria on at least two (2) occasions and include:</w:t>
      </w:r>
    </w:p>
    <w:p w:rsidR="00000000" w:rsidRPr="00B91056" w:rsidP="00B91056">
      <w:pPr>
        <w:pStyle w:val="ListBullet"/>
      </w:pPr>
      <w:r w:rsidRPr="00B91056">
        <w:t>following work instructions, standard operat</w:t>
      </w:r>
      <w:r w:rsidRPr="00B91056">
        <w:t xml:space="preserve">ing procedures (SOPs) and safe work practices </w:t>
      </w:r>
    </w:p>
    <w:p w:rsidR="00000000" w:rsidRPr="00B91056" w:rsidP="00B91056">
      <w:pPr>
        <w:pStyle w:val="ListBullet"/>
      </w:pPr>
      <w:r w:rsidRPr="00B91056">
        <w:t xml:space="preserve">determining procedure for conducting capability study </w:t>
      </w:r>
    </w:p>
    <w:p w:rsidR="00000000" w:rsidRPr="00B91056" w:rsidP="00B91056">
      <w:pPr>
        <w:pStyle w:val="ListBullet"/>
      </w:pPr>
      <w:r w:rsidRPr="00B91056">
        <w:t xml:space="preserve">analysing data, identifying solutions and developing recommendations </w:t>
      </w:r>
    </w:p>
    <w:p w:rsidR="00000000" w:rsidRPr="00B91056" w:rsidP="00B91056">
      <w:pPr>
        <w:pStyle w:val="ListBullet"/>
      </w:pPr>
      <w:r w:rsidRPr="00B91056">
        <w:t>estimating the possible number of defects compared to the specification requirements</w:t>
      </w:r>
    </w:p>
    <w:p w:rsidR="00000000" w:rsidRPr="00B91056" w:rsidP="00B91056">
      <w:pPr>
        <w:pStyle w:val="ListBullet"/>
      </w:pPr>
      <w:r w:rsidRPr="00B91056">
        <w:t xml:space="preserve">preparing reports listing the various options </w:t>
      </w:r>
    </w:p>
    <w:p w:rsidR="00000000" w:rsidRPr="00B91056" w:rsidP="00B91056">
      <w:pPr>
        <w:pStyle w:val="ListBullet"/>
      </w:pPr>
      <w:r w:rsidRPr="00B91056">
        <w:t>determining process design specifications from process capability data</w:t>
      </w:r>
    </w:p>
    <w:p w:rsidR="00000000" w:rsidRPr="00B91056" w:rsidP="00B91056">
      <w:pPr>
        <w:pStyle w:val="ListBullet"/>
      </w:pPr>
      <w:r w:rsidRPr="00B91056">
        <w:t xml:space="preserve">selecting appropriate sampling plan </w:t>
      </w:r>
    </w:p>
    <w:p w:rsidR="00000000" w:rsidRPr="00B91056" w:rsidP="00B91056">
      <w:pPr>
        <w:pStyle w:val="ListBullet"/>
      </w:pPr>
      <w:r w:rsidRPr="00B91056">
        <w:t>documenting sampling plan and implementation strategy in accordance with SOPs.</w:t>
      </w:r>
    </w:p>
    <w:p w:rsidR="00000000" w:rsidRPr="00B91056" w:rsidP="00B91056">
      <w:pPr>
        <w:pStyle w:val="AllowPageBreak"/>
      </w:pPr>
    </w:p>
    <w:p w:rsidR="00000000" w:rsidRPr="00B91056" w:rsidP="00B91056">
      <w:pPr>
        <w:pStyle w:val="Heading1"/>
      </w:pPr>
      <w:bookmarkStart w:id="3" w:name="O_953000"/>
      <w:bookmarkEnd w:id="3"/>
      <w:r w:rsidRPr="00B91056">
        <w:t>Know</w:t>
      </w:r>
      <w:r w:rsidRPr="00B91056">
        <w:t>ledge Evidence</w:t>
      </w:r>
    </w:p>
    <w:p w:rsidR="00000000" w:rsidRPr="00B91056" w:rsidP="005A5D97">
      <w:pPr>
        <w:pStyle w:val="BodyText"/>
      </w:pPr>
      <w:r w:rsidRPr="00B91056">
        <w:t>Evidence required to demonstrate the required knowledge for this unit must be relevant to and satisfy the requirements of the elements and performance criteria and include knowledge of:</w:t>
      </w:r>
    </w:p>
    <w:p w:rsidR="00000000" w:rsidRPr="00B91056" w:rsidP="00B91056">
      <w:pPr>
        <w:pStyle w:val="ListBullet"/>
      </w:pPr>
      <w:r w:rsidRPr="00B91056">
        <w:t>safe work practices and procedures and use of personal</w:t>
      </w:r>
      <w:r w:rsidRPr="00B91056">
        <w:t xml:space="preserve"> protective equipment (PPE)</w:t>
      </w:r>
    </w:p>
    <w:p w:rsidR="00000000" w:rsidRPr="00B91056" w:rsidP="00B91056">
      <w:pPr>
        <w:pStyle w:val="ListBullet"/>
      </w:pPr>
      <w:r w:rsidRPr="00B91056">
        <w:t>process to be studied</w:t>
      </w:r>
    </w:p>
    <w:p w:rsidR="00000000" w:rsidRPr="00B91056" w:rsidP="00B91056">
      <w:pPr>
        <w:pStyle w:val="ListBullet"/>
      </w:pPr>
      <w:r w:rsidRPr="00B91056">
        <w:t>procedures for conducting process capability studies</w:t>
      </w:r>
    </w:p>
    <w:p w:rsidR="00000000" w:rsidRPr="00B91056" w:rsidP="00B91056">
      <w:pPr>
        <w:pStyle w:val="ListBullet"/>
      </w:pPr>
      <w:r w:rsidRPr="00B91056">
        <w:t>data used to calculate the process capability</w:t>
      </w:r>
    </w:p>
    <w:p w:rsidR="00000000" w:rsidRPr="00B91056" w:rsidP="00B91056">
      <w:pPr>
        <w:pStyle w:val="ListBullet"/>
      </w:pPr>
      <w:r w:rsidRPr="00B91056">
        <w:t>procedures for estimating the possible number of product defects</w:t>
      </w:r>
    </w:p>
    <w:p w:rsidR="00000000" w:rsidRPr="00B91056" w:rsidP="00B91056">
      <w:pPr>
        <w:pStyle w:val="ListBullet"/>
      </w:pPr>
      <w:r w:rsidRPr="00B91056">
        <w:t>options for improving the process a</w:t>
      </w:r>
      <w:r w:rsidRPr="00B91056">
        <w:t>nd benefits of each</w:t>
      </w:r>
    </w:p>
    <w:p w:rsidR="00000000" w:rsidRPr="00B91056" w:rsidP="00B91056">
      <w:pPr>
        <w:pStyle w:val="ListBullet"/>
      </w:pPr>
      <w:r w:rsidRPr="00B91056">
        <w:t>procedures for determining the optimum target mean</w:t>
      </w:r>
    </w:p>
    <w:p w:rsidR="00000000" w:rsidRPr="00B91056" w:rsidP="00B91056">
      <w:pPr>
        <w:pStyle w:val="ListBullet"/>
      </w:pPr>
      <w:r w:rsidRPr="00B91056">
        <w:t>numerical operations and calculations/formulae for process capability, control limits and other outcomes within the scope of this unit</w:t>
      </w:r>
    </w:p>
    <w:p w:rsidR="00000000" w:rsidRPr="00B91056" w:rsidP="00B91056">
      <w:pPr>
        <w:pStyle w:val="ListBullet"/>
      </w:pPr>
      <w:r w:rsidRPr="00B91056">
        <w:t>procedures for setting control and warning limits</w:t>
      </w:r>
    </w:p>
    <w:p w:rsidR="00000000" w:rsidRPr="00B91056" w:rsidP="00B91056">
      <w:pPr>
        <w:pStyle w:val="ListBullet"/>
      </w:pPr>
      <w:r w:rsidRPr="00B91056">
        <w:t>concept of out-of-control situations</w:t>
      </w:r>
    </w:p>
    <w:p w:rsidR="00000000" w:rsidRPr="00B91056" w:rsidP="00B91056">
      <w:pPr>
        <w:pStyle w:val="ListBullet"/>
      </w:pPr>
      <w:r w:rsidRPr="00B91056">
        <w:t>action to be taken when an out-of-control situation is detected and procedures for documenting out-of-control situations</w:t>
      </w:r>
    </w:p>
    <w:p w:rsidR="00000000" w:rsidRPr="00B91056" w:rsidP="00B91056">
      <w:pPr>
        <w:pStyle w:val="ListBullet"/>
      </w:pPr>
      <w:r w:rsidRPr="00B91056">
        <w:t>acceptable level of quality</w:t>
      </w:r>
    </w:p>
    <w:p w:rsidR="00000000" w:rsidRPr="00B91056" w:rsidP="00B91056">
      <w:pPr>
        <w:pStyle w:val="ListBullet"/>
      </w:pPr>
      <w:r w:rsidRPr="00B91056">
        <w:t>variety of sampling plans and their application</w:t>
      </w:r>
    </w:p>
    <w:p w:rsidR="00000000" w:rsidRPr="00B91056" w:rsidP="00B91056">
      <w:pPr>
        <w:pStyle w:val="ListBullet"/>
      </w:pPr>
      <w:r w:rsidRPr="00B91056">
        <w:t>sampling plan to be ap</w:t>
      </w:r>
      <w:r w:rsidRPr="00B91056">
        <w:t>plied to a given situation and reasons for selection</w:t>
      </w:r>
    </w:p>
    <w:p w:rsidR="00000000" w:rsidRPr="00B91056" w:rsidP="00B91056">
      <w:pPr>
        <w:pStyle w:val="ListBullet"/>
      </w:pPr>
      <w:r w:rsidRPr="00B91056">
        <w:t>acceptable quality limits</w:t>
      </w:r>
    </w:p>
    <w:p w:rsidR="00000000" w:rsidRPr="00B91056" w:rsidP="00B91056">
      <w:pPr>
        <w:pStyle w:val="ListBullet"/>
      </w:pPr>
      <w:r w:rsidRPr="00B91056">
        <w:t>risks associated with identifying acceptable quality limits for the producer and customer</w:t>
      </w:r>
    </w:p>
    <w:p w:rsidR="00000000" w:rsidRPr="00B91056" w:rsidP="00B91056">
      <w:pPr>
        <w:pStyle w:val="ListBullet"/>
      </w:pPr>
      <w:r w:rsidRPr="00B91056">
        <w:t>procedures for documenting and implementing sampling plans.</w:t>
      </w:r>
    </w:p>
    <w:p w:rsidR="00000000" w:rsidRPr="00B91056" w:rsidP="00B91056">
      <w:pPr>
        <w:pStyle w:val="AllowPageBreak"/>
      </w:pPr>
    </w:p>
    <w:p w:rsidR="00000000" w:rsidRPr="00B91056" w:rsidP="00B91056">
      <w:pPr>
        <w:pStyle w:val="Heading1"/>
      </w:pPr>
      <w:bookmarkStart w:id="4" w:name="O_952999"/>
      <w:bookmarkEnd w:id="4"/>
      <w:r w:rsidRPr="00B91056">
        <w:t>Assessment</w:t>
      </w:r>
      <w:r w:rsidRPr="00B91056">
        <w:t xml:space="preserve"> Conditions</w:t>
      </w:r>
    </w:p>
    <w:p w:rsidR="00000000" w:rsidRPr="00B91056" w:rsidP="00B91056">
      <w:pPr>
        <w:pStyle w:val="ListBullet"/>
      </w:pPr>
      <w:r w:rsidRPr="00B91056">
        <w:t>Assessors must:</w:t>
      </w:r>
    </w:p>
    <w:p w:rsidR="00000000" w:rsidRPr="00B91056" w:rsidP="00B91056">
      <w:pPr>
        <w:pStyle w:val="ListBullet2"/>
      </w:pPr>
      <w:r w:rsidRPr="00B91056">
        <w:t>have vocational competency in conducting product and/or process capability studies at least to the level being assessed with relevant industry knowledge and experience</w:t>
      </w:r>
    </w:p>
    <w:p w:rsidR="00000000" w:rsidRPr="00B91056" w:rsidP="00B91056">
      <w:pPr>
        <w:pStyle w:val="ListBullet2"/>
      </w:pPr>
      <w:r w:rsidRPr="00B91056">
        <w:t xml:space="preserve">satisfy the assessor requirements in the </w:t>
      </w:r>
      <w:r w:rsidRPr="00B91056">
        <w:rPr>
          <w:rStyle w:val="Emphasis"/>
        </w:rPr>
        <w:t xml:space="preserve">Standards for Registered Training Organisations 2015 </w:t>
      </w:r>
      <w:r w:rsidRPr="00B91056">
        <w:t>or its replacement</w:t>
      </w:r>
      <w:r w:rsidRPr="00B91056">
        <w:rPr>
          <w:rStyle w:val="Emphasis"/>
        </w:rPr>
        <w:t xml:space="preserve"> </w:t>
      </w:r>
      <w:r w:rsidRPr="00B91056">
        <w:t xml:space="preserve">and comply with the </w:t>
      </w:r>
      <w:r w:rsidRPr="00B91056">
        <w:rPr>
          <w:rStyle w:val="Emphasis"/>
        </w:rPr>
        <w:t xml:space="preserve">National Vocational Education and Training Regulator Act 2011, </w:t>
      </w:r>
      <w:r w:rsidRPr="00B91056">
        <w:t>its replacement</w:t>
      </w:r>
      <w:r w:rsidRPr="00B91056">
        <w:rPr>
          <w:rStyle w:val="Emphasis"/>
        </w:rPr>
        <w:t xml:space="preserve"> </w:t>
      </w:r>
      <w:r w:rsidRPr="00B91056">
        <w:t xml:space="preserve">or equivalent legislation covering VET regulation in a non-referring state/territory </w:t>
      </w:r>
      <w:r w:rsidRPr="00B91056">
        <w:t>as the case requires</w:t>
      </w:r>
    </w:p>
    <w:p w:rsidR="00000000" w:rsidRPr="00B91056" w:rsidP="00B91056">
      <w:pPr>
        <w:pStyle w:val="ListBullet"/>
      </w:pPr>
      <w:r w:rsidRPr="00B91056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B91056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B91056" w:rsidP="00B91056">
      <w:pPr>
        <w:pStyle w:val="ListBullet"/>
      </w:pPr>
      <w:r w:rsidRPr="00B91056">
        <w:t>Conditions fo</w:t>
      </w:r>
      <w:r w:rsidRPr="00B91056">
        <w:t>r assessment must include access to all tools, equipment, materials and documentation required, including relevant workplace procedures, product and manufacturing specifications</w:t>
      </w:r>
    </w:p>
    <w:p w:rsidR="00000000" w:rsidRPr="00B91056" w:rsidP="00B91056">
      <w:pPr>
        <w:pStyle w:val="ListBullet"/>
      </w:pPr>
      <w:r w:rsidRPr="00B91056">
        <w:t>Assessment processes and techniques must be appropriate to the language, liter</w:t>
      </w:r>
      <w:r w:rsidRPr="00B91056">
        <w:t>acy and numeracy requirements of the work being performed and the needs of the candidate.</w:t>
      </w:r>
    </w:p>
    <w:p w:rsidR="00000000" w:rsidRPr="00B91056" w:rsidP="00B91056">
      <w:pPr>
        <w:pStyle w:val="AllowPageBreak"/>
      </w:pPr>
    </w:p>
    <w:p w:rsidR="00000000" w:rsidRPr="00B91056" w:rsidP="00B91056">
      <w:pPr>
        <w:pStyle w:val="Heading1"/>
      </w:pPr>
      <w:bookmarkStart w:id="5" w:name="O_952997"/>
      <w:bookmarkEnd w:id="5"/>
      <w:r w:rsidRPr="00B91056">
        <w:t>Links</w:t>
      </w:r>
    </w:p>
    <w:p w:rsidR="00000000" w:rsidRPr="00B91056" w:rsidP="005A5D97">
      <w:pPr>
        <w:pStyle w:val="BodyText"/>
      </w:pPr>
      <w:r w:rsidRPr="00B910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54F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91056" w:rsidP="00B91056"/>
    <w:sectPr w:rsidSect="00B910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56" w:rsidRPr="005A5D97" w:rsidP="005A5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D97" w:rsidP="00B91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5D97" w:rsidP="00B91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5D97" w:rsidP="00B91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056" w:rsidRPr="005A5D97" w:rsidP="005A5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D97" w:rsidRPr="002D2AF8" w:rsidP="00B91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MEM15007 Conduct product and/or process capability studies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A5D97" w:rsidP="00B91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F856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08F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96F2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056"/>
  </w:style>
  <w:style w:type="character" w:customStyle="1" w:styleId="Heading1Char">
    <w:name w:val="Heading 1 Char"/>
    <w:basedOn w:val="DefaultParagraphFont"/>
    <w:link w:val="Heading1"/>
    <w:rsid w:val="00B91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0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10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10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1056"/>
    <w:rPr>
      <w:i/>
    </w:rPr>
  </w:style>
  <w:style w:type="paragraph" w:customStyle="1" w:styleId="SuperHeading">
    <w:name w:val="SuperHeading"/>
    <w:basedOn w:val="Normal"/>
    <w:rsid w:val="00B91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0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1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1056"/>
    <w:rPr>
      <w:b/>
      <w:spacing w:val="0"/>
    </w:rPr>
  </w:style>
  <w:style w:type="paragraph" w:customStyle="1" w:styleId="SuperTitle">
    <w:name w:val="SuperTitle"/>
    <w:basedOn w:val="Title"/>
    <w:rsid w:val="00B91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1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0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1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056"/>
  </w:style>
  <w:style w:type="paragraph" w:styleId="TableofFigures">
    <w:name w:val="table of figures"/>
    <w:basedOn w:val="Normal"/>
    <w:next w:val="Normal"/>
    <w:semiHidden/>
    <w:rsid w:val="00B91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0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1056"/>
    <w:rPr>
      <w:rFonts w:ascii="Wingdings" w:hAnsi="Wingdings"/>
    </w:rPr>
  </w:style>
  <w:style w:type="paragraph" w:customStyle="1" w:styleId="TableHeading">
    <w:name w:val="Table Heading"/>
    <w:basedOn w:val="HeadingBase"/>
    <w:rsid w:val="00B91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056"/>
    <w:rPr>
      <w:color w:val="0033CC"/>
      <w:u w:val="none"/>
    </w:rPr>
  </w:style>
  <w:style w:type="paragraph" w:customStyle="1" w:styleId="BodyTextRight">
    <w:name w:val="Body Text Right"/>
    <w:basedOn w:val="BodyText"/>
    <w:rsid w:val="00B91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0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056"/>
    <w:rPr>
      <w:sz w:val="32"/>
    </w:rPr>
  </w:style>
  <w:style w:type="paragraph" w:customStyle="1" w:styleId="HeadingProcedure">
    <w:name w:val="Heading Procedure"/>
    <w:basedOn w:val="HeadingBase"/>
    <w:next w:val="Normal"/>
    <w:rsid w:val="00B91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056"/>
    <w:pPr>
      <w:spacing w:before="60" w:after="60"/>
    </w:pPr>
  </w:style>
  <w:style w:type="paragraph" w:styleId="ListContinue">
    <w:name w:val="List Continue"/>
    <w:basedOn w:val="List"/>
    <w:rsid w:val="00B91056"/>
    <w:pPr>
      <w:ind w:firstLine="0"/>
    </w:pPr>
  </w:style>
  <w:style w:type="paragraph" w:customStyle="1" w:styleId="ListNote">
    <w:name w:val="List Note"/>
    <w:basedOn w:val="List"/>
    <w:rsid w:val="00B91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056"/>
    <w:rPr>
      <w:rFonts w:ascii="Courier New" w:hAnsi="Courier New"/>
    </w:rPr>
  </w:style>
  <w:style w:type="paragraph" w:customStyle="1" w:styleId="NoteBullet">
    <w:name w:val="Note Bullet"/>
    <w:basedOn w:val="Note"/>
    <w:rsid w:val="00B91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0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1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056"/>
    <w:rPr>
      <w:b/>
      <w:smallCaps/>
    </w:rPr>
  </w:style>
  <w:style w:type="paragraph" w:customStyle="1" w:styleId="TableListNumber">
    <w:name w:val="Table List Number"/>
    <w:basedOn w:val="ListNumber"/>
    <w:rsid w:val="00B91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056"/>
    <w:pPr>
      <w:numPr>
        <w:numId w:val="9"/>
      </w:numPr>
    </w:pPr>
  </w:style>
  <w:style w:type="paragraph" w:customStyle="1" w:styleId="ListAlpha2">
    <w:name w:val="List Alpha 2"/>
    <w:basedOn w:val="List2"/>
    <w:rsid w:val="00B91056"/>
    <w:pPr>
      <w:numPr>
        <w:numId w:val="8"/>
      </w:numPr>
    </w:pPr>
  </w:style>
  <w:style w:type="paragraph" w:styleId="List2">
    <w:name w:val="List 2"/>
    <w:basedOn w:val="BodyText"/>
    <w:rsid w:val="00B91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0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0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1056"/>
    <w:pPr>
      <w:numPr>
        <w:numId w:val="4"/>
      </w:numPr>
    </w:pPr>
  </w:style>
  <w:style w:type="paragraph" w:styleId="ListContinue2">
    <w:name w:val="List Continue 2"/>
    <w:basedOn w:val="List2"/>
    <w:rsid w:val="00B91056"/>
    <w:pPr>
      <w:ind w:firstLine="0"/>
    </w:pPr>
  </w:style>
  <w:style w:type="paragraph" w:styleId="ListContinue3">
    <w:name w:val="List Continue 3"/>
    <w:basedOn w:val="List3"/>
    <w:rsid w:val="00B91056"/>
    <w:pPr>
      <w:ind w:left="1021" w:firstLine="0"/>
    </w:pPr>
  </w:style>
  <w:style w:type="paragraph" w:styleId="ListContinue4">
    <w:name w:val="List Continue 4"/>
    <w:basedOn w:val="List4"/>
    <w:rsid w:val="00B91056"/>
    <w:pPr>
      <w:ind w:firstLine="0"/>
    </w:pPr>
  </w:style>
  <w:style w:type="paragraph" w:styleId="ListContinue5">
    <w:name w:val="List Continue 5"/>
    <w:basedOn w:val="List5"/>
    <w:rsid w:val="00B91056"/>
    <w:pPr>
      <w:ind w:firstLine="0"/>
    </w:pPr>
  </w:style>
  <w:style w:type="paragraph" w:styleId="ListNumber3">
    <w:name w:val="List Number 3"/>
    <w:basedOn w:val="List3"/>
    <w:rsid w:val="00B91056"/>
    <w:pPr>
      <w:numPr>
        <w:numId w:val="5"/>
      </w:numPr>
    </w:pPr>
  </w:style>
  <w:style w:type="paragraph" w:styleId="ListNumber4">
    <w:name w:val="List Number 4"/>
    <w:basedOn w:val="List4"/>
    <w:rsid w:val="00B91056"/>
    <w:pPr>
      <w:numPr>
        <w:numId w:val="6"/>
      </w:numPr>
    </w:pPr>
  </w:style>
  <w:style w:type="paragraph" w:styleId="ListNumber5">
    <w:name w:val="List Number 5"/>
    <w:basedOn w:val="List5"/>
    <w:rsid w:val="00B91056"/>
    <w:pPr>
      <w:numPr>
        <w:numId w:val="7"/>
      </w:numPr>
    </w:pPr>
  </w:style>
  <w:style w:type="paragraph" w:styleId="BlockText">
    <w:name w:val="Block Text"/>
    <w:basedOn w:val="Normal"/>
    <w:rsid w:val="00B91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056"/>
    <w:rPr>
      <w:sz w:val="16"/>
      <w:vertAlign w:val="superscript"/>
    </w:rPr>
  </w:style>
  <w:style w:type="character" w:customStyle="1" w:styleId="Symbols">
    <w:name w:val="Symbols"/>
    <w:basedOn w:val="DefaultParagraphFont"/>
    <w:rsid w:val="00B91056"/>
    <w:rPr>
      <w:rFonts w:ascii="Symbol" w:hAnsi="Symbol"/>
    </w:rPr>
  </w:style>
  <w:style w:type="character" w:customStyle="1" w:styleId="MenuOptions">
    <w:name w:val="Menu Options"/>
    <w:basedOn w:val="DefaultParagraphFont"/>
    <w:rsid w:val="00B91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056"/>
    <w:rPr>
      <w:b/>
    </w:rPr>
  </w:style>
  <w:style w:type="character" w:customStyle="1" w:styleId="Underlined">
    <w:name w:val="Underlined"/>
    <w:basedOn w:val="DefaultParagraphFont"/>
    <w:rsid w:val="00B91056"/>
    <w:rPr>
      <w:u w:val="single"/>
    </w:rPr>
  </w:style>
  <w:style w:type="paragraph" w:customStyle="1" w:styleId="TableBodyTextRight">
    <w:name w:val="Table Body Text Right"/>
    <w:basedOn w:val="TableBodyText"/>
    <w:rsid w:val="00B91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056"/>
    <w:rPr>
      <w:sz w:val="18"/>
    </w:rPr>
  </w:style>
  <w:style w:type="paragraph" w:customStyle="1" w:styleId="BodySmallRight">
    <w:name w:val="Body Small Right"/>
    <w:basedOn w:val="BodyTextRight"/>
    <w:rsid w:val="00B91056"/>
    <w:rPr>
      <w:sz w:val="18"/>
      <w:szCs w:val="18"/>
    </w:rPr>
  </w:style>
  <w:style w:type="paragraph" w:customStyle="1" w:styleId="MarginEdition">
    <w:name w:val="Margin Edition"/>
    <w:basedOn w:val="MarginNote"/>
    <w:rsid w:val="00B91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056"/>
    <w:rPr>
      <w:sz w:val="2"/>
      <w:szCs w:val="2"/>
    </w:rPr>
  </w:style>
  <w:style w:type="character" w:customStyle="1" w:styleId="Small">
    <w:name w:val="Small"/>
    <w:basedOn w:val="DefaultParagraphFont"/>
    <w:rsid w:val="00B91056"/>
    <w:rPr>
      <w:sz w:val="16"/>
    </w:rPr>
  </w:style>
  <w:style w:type="paragraph" w:customStyle="1" w:styleId="WideTable">
    <w:name w:val="Wide Table"/>
    <w:basedOn w:val="Normal"/>
    <w:rsid w:val="00B91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056"/>
  </w:style>
  <w:style w:type="paragraph" w:styleId="Quote">
    <w:name w:val="Quote"/>
    <w:basedOn w:val="Heading1"/>
    <w:link w:val="QuoteChar"/>
    <w:qFormat/>
    <w:rsid w:val="00B91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056"/>
    <w:pPr>
      <w:pageBreakBefore/>
    </w:pPr>
  </w:style>
  <w:style w:type="paragraph" w:customStyle="1" w:styleId="Border">
    <w:name w:val="Border"/>
    <w:basedOn w:val="Normal"/>
    <w:qFormat/>
    <w:rsid w:val="00B91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056"/>
    <w:rPr>
      <w:u w:val="single"/>
    </w:rPr>
  </w:style>
  <w:style w:type="character" w:customStyle="1" w:styleId="BoldandItalics">
    <w:name w:val="Bold and Italics"/>
    <w:qFormat/>
    <w:rsid w:val="00B91056"/>
    <w:rPr>
      <w:b/>
      <w:i/>
      <w:u w:val="none"/>
    </w:rPr>
  </w:style>
  <w:style w:type="paragraph" w:styleId="BalloonText">
    <w:name w:val="Balloon Text"/>
    <w:basedOn w:val="Normal"/>
    <w:link w:val="BalloonTextChar"/>
    <w:rsid w:val="00B91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056"/>
    <w:pPr>
      <w:spacing w:before="0" w:after="0"/>
    </w:pPr>
  </w:style>
  <w:style w:type="paragraph" w:customStyle="1" w:styleId="BodyTextBold">
    <w:name w:val="Body Text Bold"/>
    <w:basedOn w:val="BodyText"/>
    <w:qFormat/>
    <w:rsid w:val="00B91056"/>
    <w:rPr>
      <w:b/>
    </w:rPr>
  </w:style>
  <w:style w:type="character" w:styleId="Hyperlink">
    <w:name w:val="Hyperlink"/>
    <w:basedOn w:val="DefaultParagraphFont"/>
    <w:uiPriority w:val="99"/>
    <w:unhideWhenUsed/>
    <w:rsid w:val="005A5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3474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MEM15007 Conduct product and/or process capability studies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2023-02-03T07:20:00Z</dcterms:created>
  <dcterms:modified xsi:type="dcterms:W3CDTF">2023-02-03T07:20:00Z</dcterms:modified>
</cp:coreProperties>
</file>