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52BB" w:rsidP="005B52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MEM14002 Undertake basic process planning</w:t>
      </w:r>
      <w:r>
        <w:fldChar w:fldCharType="end"/>
      </w:r>
    </w:p>
    <w:p w:rsidR="005B52BB" w:rsidP="005B52BB">
      <w:pPr>
        <w:pStyle w:val="Version"/>
        <w:sectPr w:rsidSect="00782A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2A39" w:rsidP="00782A39">
      <w:pPr>
        <w:pStyle w:val="SuperHeading"/>
      </w:pPr>
      <w:r w:rsidRPr="00782A39">
        <w:t>MEM14002 Undertake basic process planning</w:t>
      </w:r>
    </w:p>
    <w:p w:rsidR="00000000" w:rsidRPr="00782A39" w:rsidP="00782A39">
      <w:pPr>
        <w:pStyle w:val="Heading1"/>
      </w:pPr>
      <w:bookmarkStart w:id="1" w:name="O_949147"/>
      <w:bookmarkEnd w:id="1"/>
      <w:r w:rsidRPr="00782A39">
        <w:t>Modification History</w:t>
      </w:r>
    </w:p>
    <w:p w:rsidR="00000000" w:rsidRPr="00782A39" w:rsidP="005B52BB">
      <w:pPr>
        <w:pStyle w:val="BodyText"/>
      </w:pPr>
      <w:r w:rsidRPr="00782A39">
        <w:t xml:space="preserve">Release 1. Supersedes and is equivalent to MEM14002B Undertake basic process planning </w:t>
      </w:r>
    </w:p>
    <w:p w:rsidR="00000000" w:rsidRPr="00782A39" w:rsidP="00782A39">
      <w:pPr>
        <w:pStyle w:val="Heading1"/>
      </w:pPr>
      <w:bookmarkStart w:id="2" w:name="O_949155"/>
      <w:bookmarkEnd w:id="2"/>
      <w:r w:rsidRPr="00782A39">
        <w:t>Application</w:t>
      </w:r>
    </w:p>
    <w:p w:rsidR="00000000" w:rsidRPr="00782A39" w:rsidP="005B52BB">
      <w:pPr>
        <w:pStyle w:val="BodyText"/>
      </w:pPr>
      <w:r w:rsidRPr="00782A39">
        <w:t>This unit of competency defines the skills and knowledge required to review process specifications and determine the pr</w:t>
      </w:r>
      <w:r w:rsidRPr="00782A39">
        <w:t xml:space="preserve">oduction sequence and applies to one of a range of processes in manufacturing: machining, pressing, assembly and to a stage of the overall production process. </w:t>
      </w:r>
    </w:p>
    <w:p w:rsidR="00000000" w:rsidRPr="00782A39" w:rsidP="005B52BB">
      <w:pPr>
        <w:pStyle w:val="BodyText"/>
      </w:pPr>
      <w:r w:rsidRPr="00782A39">
        <w:t>It does not apply to interfacing between processes.</w:t>
      </w:r>
    </w:p>
    <w:p w:rsidR="00000000" w:rsidRPr="00782A39" w:rsidP="005B52BB">
      <w:pPr>
        <w:pStyle w:val="BodyText"/>
      </w:pPr>
      <w:r w:rsidRPr="00782A39">
        <w:t>Where planning is based on engineering dra</w:t>
      </w:r>
      <w:r w:rsidRPr="00782A39">
        <w:t>wings and supporting engineering data, appropriate units of competence should also be selected.</w:t>
      </w:r>
    </w:p>
    <w:p w:rsidR="00000000" w:rsidRPr="00782A39" w:rsidP="005B52BB">
      <w:pPr>
        <w:pStyle w:val="BodyText"/>
      </w:pPr>
      <w:r w:rsidRPr="00782A39">
        <w:t>No licensing, legislative or certification requirements apply to this unit at the time of publication.</w:t>
      </w:r>
    </w:p>
    <w:p w:rsidR="00000000" w:rsidRPr="00782A39" w:rsidP="00782A39">
      <w:pPr>
        <w:pStyle w:val="BodyText"/>
      </w:pPr>
      <w:r w:rsidRPr="00782A39">
        <w:rPr>
          <w:rStyle w:val="SpecialBold"/>
        </w:rPr>
        <w:t>Band</w:t>
      </w:r>
      <w:r w:rsidRPr="00782A39">
        <w:t>:</w:t>
      </w:r>
      <w:r w:rsidRPr="00782A39">
        <w:tab/>
      </w:r>
      <w:r w:rsidRPr="00782A39">
        <w:rPr>
          <w:rStyle w:val="SpecialBold"/>
        </w:rPr>
        <w:t>B</w:t>
      </w:r>
    </w:p>
    <w:p w:rsidR="00000000" w:rsidRPr="00782A39" w:rsidP="00782A39">
      <w:pPr>
        <w:pStyle w:val="BodyText"/>
      </w:pPr>
      <w:r w:rsidRPr="00782A39">
        <w:rPr>
          <w:rStyle w:val="SpecialBold"/>
        </w:rPr>
        <w:t>Unit Weight</w:t>
      </w:r>
      <w:r w:rsidRPr="00782A39">
        <w:t>:</w:t>
      </w:r>
      <w:r w:rsidRPr="00782A39">
        <w:tab/>
      </w:r>
      <w:r w:rsidRPr="00782A39">
        <w:rPr>
          <w:rStyle w:val="SpecialBold"/>
        </w:rPr>
        <w:t>8</w:t>
      </w:r>
    </w:p>
    <w:p w:rsidR="00000000" w:rsidRPr="00782A39" w:rsidP="00782A39">
      <w:pPr>
        <w:pStyle w:val="AllowPageBreak"/>
      </w:pPr>
    </w:p>
    <w:p w:rsidR="00000000" w:rsidRPr="00782A39" w:rsidP="00782A39">
      <w:pPr>
        <w:pStyle w:val="Heading1"/>
      </w:pPr>
      <w:bookmarkStart w:id="3" w:name="O_949154"/>
      <w:bookmarkEnd w:id="3"/>
      <w:r w:rsidRPr="00782A39">
        <w:t>Pre-requisite U</w:t>
      </w:r>
      <w:r w:rsidRPr="00782A39">
        <w:t>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3"/>
        <w:gridCol w:w="6967"/>
      </w:tblGrid>
      <w:tr w:rsidTr="00782A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A39">
            <w:pPr>
              <w:pStyle w:val="BodyText"/>
              <w:rPr>
                <w:lang w:val="en-NZ"/>
              </w:rPr>
            </w:pPr>
            <w:r w:rsidRPr="00782A39">
              <w:t>MEM13015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A39">
            <w:pPr>
              <w:pStyle w:val="BodyText"/>
              <w:rPr>
                <w:lang w:val="en-NZ"/>
              </w:rPr>
            </w:pPr>
            <w:r w:rsidRPr="00782A39">
              <w:t>Work safely and effectively in manufacturing and engineering</w:t>
            </w:r>
          </w:p>
        </w:tc>
      </w:tr>
      <w:tr w:rsidTr="00782A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A39">
            <w:pPr>
              <w:pStyle w:val="BodyText"/>
              <w:rPr>
                <w:lang w:val="en-NZ"/>
              </w:rPr>
            </w:pPr>
            <w:r w:rsidRPr="00782A39">
              <w:t>MEM16006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A39" w:rsidP="00782A39">
            <w:pPr>
              <w:pStyle w:val="BodyText"/>
            </w:pPr>
            <w:r w:rsidRPr="00782A39">
              <w:t>Organise and communicate information</w:t>
            </w:r>
          </w:p>
        </w:tc>
      </w:tr>
    </w:tbl>
    <w:p w:rsidR="00000000" w:rsidRPr="00782A39" w:rsidP="00782A39">
      <w:pPr>
        <w:pStyle w:val="BodyText"/>
      </w:pPr>
    </w:p>
    <w:p w:rsidR="00000000" w:rsidRPr="00782A39" w:rsidP="00782A39">
      <w:pPr>
        <w:pStyle w:val="AllowPageBreak"/>
      </w:pPr>
    </w:p>
    <w:p w:rsidR="00000000" w:rsidRPr="00782A39" w:rsidP="00782A39">
      <w:pPr>
        <w:pStyle w:val="Heading1"/>
      </w:pPr>
      <w:bookmarkStart w:id="4" w:name="O_949153"/>
      <w:bookmarkEnd w:id="4"/>
      <w:r w:rsidRPr="00782A39">
        <w:t>Competency Field</w:t>
      </w:r>
    </w:p>
    <w:p w:rsidR="00000000" w:rsidRPr="00782A39" w:rsidP="005B52BB">
      <w:pPr>
        <w:pStyle w:val="BodyText"/>
      </w:pPr>
      <w:r w:rsidRPr="00782A39">
        <w:t>Planning</w:t>
      </w:r>
    </w:p>
    <w:p w:rsidR="00000000" w:rsidRPr="00782A39" w:rsidP="00782A39">
      <w:pPr>
        <w:pStyle w:val="Heading1"/>
      </w:pPr>
      <w:bookmarkStart w:id="5" w:name="O_949151"/>
      <w:bookmarkEnd w:id="5"/>
      <w:r w:rsidRPr="00782A3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782A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A39">
            <w:pPr>
              <w:pStyle w:val="BodyText"/>
              <w:rPr>
                <w:lang w:val="en-NZ"/>
              </w:rPr>
            </w:pPr>
            <w:r w:rsidRPr="00782A39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A39">
            <w:pPr>
              <w:pStyle w:val="BodyText"/>
              <w:rPr>
                <w:lang w:val="en-NZ"/>
              </w:rPr>
            </w:pPr>
            <w:r w:rsidRPr="00782A39">
              <w:t>Performance criteria describe the performance needed to demonstrate achievement of the element.</w:t>
            </w:r>
          </w:p>
        </w:tc>
      </w:tr>
      <w:tr w:rsidTr="00782A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A39" w:rsidP="00782A39">
            <w:pPr>
              <w:pStyle w:val="BodyText"/>
            </w:pPr>
            <w:r w:rsidRPr="00782A39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A39">
            <w:pPr>
              <w:pStyle w:val="BodyText"/>
              <w:rPr>
                <w:lang w:val="en-NZ"/>
              </w:rPr>
            </w:pPr>
            <w:r w:rsidRPr="00782A39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A39">
            <w:pPr>
              <w:pStyle w:val="BodyText"/>
              <w:rPr>
                <w:lang w:val="en-NZ"/>
              </w:rPr>
            </w:pPr>
            <w:r w:rsidRPr="00782A39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A39">
            <w:pPr>
              <w:pStyle w:val="BodyText"/>
              <w:rPr>
                <w:lang w:val="en-NZ"/>
              </w:rPr>
            </w:pPr>
            <w:r w:rsidRPr="00782A39">
              <w:t>Follow standard operating procedures (SOPs)</w:t>
            </w:r>
          </w:p>
        </w:tc>
      </w:tr>
      <w:tr w:rsidTr="00782A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A39">
            <w:pPr>
              <w:pStyle w:val="BodyText"/>
              <w:rPr>
                <w:lang w:val="en-NZ"/>
              </w:rPr>
            </w:pPr>
            <w:r w:rsidRPr="00782A39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A39">
            <w:pPr>
              <w:pStyle w:val="BodyText"/>
              <w:rPr>
                <w:lang w:val="en-NZ"/>
              </w:rPr>
            </w:pPr>
            <w:r w:rsidRPr="00782A39">
              <w:t>Comply with work health and safety (WHS) requirements at all times</w:t>
            </w:r>
          </w:p>
        </w:tc>
      </w:tr>
      <w:tr w:rsidTr="00782A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A39">
            <w:pPr>
              <w:pStyle w:val="BodyText"/>
              <w:rPr>
                <w:lang w:val="en-NZ"/>
              </w:rPr>
            </w:pPr>
            <w:r w:rsidRPr="00782A39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A39">
            <w:pPr>
              <w:pStyle w:val="BodyText"/>
              <w:rPr>
                <w:lang w:val="en-NZ"/>
              </w:rPr>
            </w:pPr>
            <w:r w:rsidRPr="00782A39">
              <w:t>Examine supporting engineering and production data, as required</w:t>
            </w:r>
          </w:p>
        </w:tc>
      </w:tr>
      <w:tr w:rsidTr="00782A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A39">
            <w:pPr>
              <w:pStyle w:val="BodyText"/>
              <w:rPr>
                <w:lang w:val="en-NZ"/>
              </w:rPr>
            </w:pPr>
            <w:r w:rsidRPr="00782A39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A39">
            <w:pPr>
              <w:pStyle w:val="BodyText"/>
              <w:rPr>
                <w:lang w:val="en-NZ"/>
              </w:rPr>
            </w:pPr>
            <w:r w:rsidRPr="00782A39">
              <w:t>Determine the production processes to be used</w:t>
            </w:r>
          </w:p>
        </w:tc>
      </w:tr>
      <w:tr w:rsidTr="00782A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A39">
            <w:pPr>
              <w:pStyle w:val="BodyText"/>
              <w:rPr>
                <w:lang w:val="en-NZ"/>
              </w:rPr>
            </w:pPr>
            <w:r w:rsidRPr="00782A39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A39">
            <w:pPr>
              <w:pStyle w:val="BodyText"/>
              <w:rPr>
                <w:lang w:val="en-NZ"/>
              </w:rPr>
            </w:pPr>
            <w:r w:rsidRPr="00782A39">
              <w:t xml:space="preserve">Obtain and examine specifications </w:t>
            </w:r>
          </w:p>
        </w:tc>
      </w:tr>
      <w:tr w:rsidTr="00782A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A39">
            <w:pPr>
              <w:pStyle w:val="BodyText"/>
              <w:rPr>
                <w:lang w:val="en-NZ"/>
              </w:rPr>
            </w:pPr>
          </w:p>
        </w:tc>
      </w:tr>
      <w:tr w:rsidTr="00782A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A39" w:rsidP="00782A39">
            <w:pPr>
              <w:pStyle w:val="BodyText"/>
            </w:pPr>
            <w:r w:rsidRPr="00782A39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A39">
            <w:pPr>
              <w:pStyle w:val="BodyText"/>
              <w:rPr>
                <w:lang w:val="en-NZ"/>
              </w:rPr>
            </w:pPr>
            <w:r w:rsidRPr="00782A39">
              <w:rPr>
                <w:rStyle w:val="SpecialBold"/>
              </w:rPr>
              <w:t>Determine production sequence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A39">
            <w:pPr>
              <w:pStyle w:val="BodyText"/>
              <w:rPr>
                <w:lang w:val="en-NZ"/>
              </w:rPr>
            </w:pPr>
            <w:r w:rsidRPr="00782A39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A39">
            <w:pPr>
              <w:pStyle w:val="BodyText"/>
              <w:rPr>
                <w:lang w:val="en-NZ"/>
              </w:rPr>
            </w:pPr>
            <w:r w:rsidRPr="00782A39">
              <w:t>Identify steps required for the process and produce flow charts in accordance with SOPs, as required</w:t>
            </w:r>
          </w:p>
        </w:tc>
      </w:tr>
      <w:tr w:rsidTr="00782A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A39">
            <w:pPr>
              <w:pStyle w:val="BodyText"/>
              <w:rPr>
                <w:lang w:val="en-NZ"/>
              </w:rPr>
            </w:pPr>
            <w:r w:rsidRPr="00782A39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A39">
            <w:pPr>
              <w:pStyle w:val="BodyText"/>
              <w:rPr>
                <w:lang w:val="en-NZ"/>
              </w:rPr>
            </w:pPr>
            <w:r w:rsidRPr="00782A39">
              <w:t xml:space="preserve">Prepare material and parts lists </w:t>
            </w:r>
          </w:p>
        </w:tc>
      </w:tr>
      <w:tr w:rsidTr="00782A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A39">
            <w:pPr>
              <w:pStyle w:val="BodyText"/>
              <w:rPr>
                <w:lang w:val="en-NZ"/>
              </w:rPr>
            </w:pPr>
            <w:r w:rsidRPr="00782A39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A39">
            <w:pPr>
              <w:pStyle w:val="BodyText"/>
              <w:rPr>
                <w:lang w:val="en-NZ"/>
              </w:rPr>
            </w:pPr>
            <w:r w:rsidRPr="00782A39">
              <w:t xml:space="preserve">Document tooling and/or equipment requirements </w:t>
            </w:r>
          </w:p>
        </w:tc>
      </w:tr>
      <w:tr w:rsidTr="00782A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A39">
            <w:pPr>
              <w:pStyle w:val="BodyText"/>
              <w:rPr>
                <w:lang w:val="en-NZ"/>
              </w:rPr>
            </w:pPr>
            <w:r w:rsidRPr="00782A39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A39">
            <w:pPr>
              <w:pStyle w:val="BodyText"/>
              <w:rPr>
                <w:lang w:val="en-NZ"/>
              </w:rPr>
            </w:pPr>
            <w:r w:rsidRPr="00782A39">
              <w:t>Identify quality assurance steps and specifications and incorporate into process steps</w:t>
            </w:r>
          </w:p>
        </w:tc>
      </w:tr>
      <w:tr w:rsidTr="00782A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A39">
            <w:pPr>
              <w:pStyle w:val="BodyText"/>
              <w:rPr>
                <w:lang w:val="en-NZ"/>
              </w:rPr>
            </w:pPr>
            <w:r w:rsidRPr="00782A39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A39" w:rsidP="00782A39">
            <w:pPr>
              <w:pStyle w:val="BodyText"/>
            </w:pPr>
            <w:r w:rsidRPr="00782A39">
              <w:t xml:space="preserve">Document process steps and clearly represent </w:t>
            </w:r>
          </w:p>
        </w:tc>
      </w:tr>
    </w:tbl>
    <w:p w:rsidR="00000000" w:rsidRPr="00782A39" w:rsidP="00782A39">
      <w:pPr>
        <w:pStyle w:val="BodyText"/>
      </w:pPr>
    </w:p>
    <w:p w:rsidR="00000000" w:rsidRPr="00782A39" w:rsidP="00782A39">
      <w:pPr>
        <w:pStyle w:val="AllowPageBreak"/>
      </w:pPr>
    </w:p>
    <w:p w:rsidR="00000000" w:rsidRPr="00782A39" w:rsidP="00782A39">
      <w:pPr>
        <w:pStyle w:val="Heading1"/>
      </w:pPr>
      <w:bookmarkStart w:id="6" w:name="O_949150"/>
      <w:bookmarkEnd w:id="6"/>
      <w:r w:rsidRPr="00782A39">
        <w:t>Foundation Skills</w:t>
      </w:r>
    </w:p>
    <w:p w:rsidR="00000000" w:rsidRPr="00782A39" w:rsidP="005B52BB">
      <w:pPr>
        <w:pStyle w:val="BodyText"/>
      </w:pPr>
      <w:r w:rsidRPr="00782A39">
        <w:t xml:space="preserve">This section describes those required skills (reading, writing, oral communication and numeracy) that are essential to workplace performance in this unit of competency.  </w:t>
      </w:r>
    </w:p>
    <w:p w:rsidR="00000000" w:rsidRPr="00782A39" w:rsidP="005B52BB">
      <w:pPr>
        <w:pStyle w:val="BodyText"/>
      </w:pPr>
      <w:r w:rsidRPr="00782A39">
        <w:t xml:space="preserve">Foundation skills essential to performance are explicit in the performance criteria </w:t>
      </w:r>
      <w:r w:rsidRPr="00782A39">
        <w:t>of this unit of competency.</w:t>
      </w:r>
    </w:p>
    <w:p w:rsidR="00000000" w:rsidRPr="00782A39" w:rsidP="00782A39">
      <w:pPr>
        <w:pStyle w:val="Heading1"/>
      </w:pPr>
      <w:bookmarkStart w:id="7" w:name="O_949149"/>
      <w:bookmarkEnd w:id="7"/>
      <w:r w:rsidRPr="00782A39">
        <w:t>Range of Conditions</w:t>
      </w:r>
    </w:p>
    <w:p w:rsidR="00000000" w:rsidRPr="00782A39" w:rsidP="005B52BB">
      <w:pPr>
        <w:pStyle w:val="BodyText"/>
      </w:pPr>
      <w:r w:rsidRPr="00782A39">
        <w:t>No range of conditions provided for this unit.</w:t>
      </w:r>
    </w:p>
    <w:p w:rsidR="00000000" w:rsidRPr="00782A39" w:rsidP="00782A39">
      <w:pPr>
        <w:pStyle w:val="Heading1"/>
      </w:pPr>
      <w:bookmarkStart w:id="8" w:name="O_949148"/>
      <w:bookmarkEnd w:id="8"/>
      <w:r w:rsidRPr="00782A39">
        <w:t>Unit Mapping Information</w:t>
      </w:r>
    </w:p>
    <w:p w:rsidR="00000000" w:rsidRPr="00782A39" w:rsidP="005B52BB">
      <w:pPr>
        <w:pStyle w:val="BodyText"/>
      </w:pPr>
      <w:r w:rsidRPr="00782A39">
        <w:t xml:space="preserve">Release 1. Supersedes and is equivalent to MEM14002B Undertake basic process planning </w:t>
      </w:r>
    </w:p>
    <w:p w:rsidR="00000000" w:rsidRPr="00782A39" w:rsidP="00782A39">
      <w:pPr>
        <w:pStyle w:val="Heading1"/>
      </w:pPr>
      <w:bookmarkStart w:id="9" w:name="O_949141"/>
      <w:bookmarkEnd w:id="9"/>
      <w:r w:rsidRPr="00782A39">
        <w:t>Links</w:t>
      </w:r>
    </w:p>
    <w:p w:rsidR="00000000" w:rsidRPr="00782A39" w:rsidP="005B52BB">
      <w:pPr>
        <w:pStyle w:val="BodyText"/>
      </w:pPr>
      <w:r w:rsidRPr="00782A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B417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82A39" w:rsidP="00782A39"/>
    <w:sectPr w:rsidSect="00782A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A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A39" w:rsidRPr="005B52BB" w:rsidP="005B52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A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2BB" w:rsidP="00782A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52BB" w:rsidP="00782A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B52BB" w:rsidP="00782A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A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2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2A39" w:rsidRPr="005B52BB" w:rsidP="005B52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A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2BB" w:rsidRPr="002D2AF8" w:rsidP="00782A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MEM14002 Undertake basic process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B52BB" w:rsidP="00782A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A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2A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2A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2A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2A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2A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2A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2A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2A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2A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2A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2A39"/>
  </w:style>
  <w:style w:type="character" w:customStyle="1" w:styleId="Heading1Char">
    <w:name w:val="Heading 1 Char"/>
    <w:basedOn w:val="DefaultParagraphFont"/>
    <w:link w:val="Heading1"/>
    <w:rsid w:val="00782A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2A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2A3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82A39"/>
    <w:rPr>
      <w:b/>
      <w:spacing w:val="0"/>
    </w:rPr>
  </w:style>
  <w:style w:type="paragraph" w:customStyle="1" w:styleId="SuperHeading">
    <w:name w:val="SuperHeading"/>
    <w:basedOn w:val="Normal"/>
    <w:rsid w:val="00782A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2A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2A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2A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2A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2A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2A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2A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2A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2A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2A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2A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2A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2A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2A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2A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2A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2A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2A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2A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2A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2A3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82A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2A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2A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2A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2A3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2A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2A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2A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2A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2A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2A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2A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2A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2A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2A39"/>
    <w:rPr>
      <w:i/>
    </w:rPr>
  </w:style>
  <w:style w:type="paragraph" w:styleId="Caption">
    <w:name w:val="caption"/>
    <w:basedOn w:val="BodyText"/>
    <w:next w:val="Normal"/>
    <w:qFormat/>
    <w:rsid w:val="00782A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2A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2A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2A39"/>
  </w:style>
  <w:style w:type="paragraph" w:styleId="TableofFigures">
    <w:name w:val="table of figures"/>
    <w:basedOn w:val="Normal"/>
    <w:next w:val="Normal"/>
    <w:semiHidden/>
    <w:rsid w:val="00782A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2A3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82A39"/>
    <w:rPr>
      <w:rFonts w:ascii="Wingdings" w:hAnsi="Wingdings"/>
    </w:rPr>
  </w:style>
  <w:style w:type="paragraph" w:customStyle="1" w:styleId="TableHeading">
    <w:name w:val="Table Heading"/>
    <w:basedOn w:val="HeadingBase"/>
    <w:rsid w:val="00782A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2A39"/>
    <w:rPr>
      <w:color w:val="0033CC"/>
      <w:u w:val="none"/>
    </w:rPr>
  </w:style>
  <w:style w:type="paragraph" w:customStyle="1" w:styleId="BodyTextRight">
    <w:name w:val="Body Text Right"/>
    <w:basedOn w:val="BodyText"/>
    <w:rsid w:val="00782A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2A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2A3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2A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2A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2A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2A39"/>
    <w:rPr>
      <w:sz w:val="32"/>
    </w:rPr>
  </w:style>
  <w:style w:type="paragraph" w:customStyle="1" w:styleId="HeadingProcedure">
    <w:name w:val="Heading Procedure"/>
    <w:basedOn w:val="HeadingBase"/>
    <w:next w:val="Normal"/>
    <w:rsid w:val="00782A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2A39"/>
    <w:pPr>
      <w:spacing w:before="60" w:after="60"/>
    </w:pPr>
  </w:style>
  <w:style w:type="paragraph" w:styleId="ListContinue">
    <w:name w:val="List Continue"/>
    <w:basedOn w:val="List"/>
    <w:rsid w:val="00782A39"/>
    <w:pPr>
      <w:ind w:firstLine="0"/>
    </w:pPr>
  </w:style>
  <w:style w:type="paragraph" w:customStyle="1" w:styleId="ListNote">
    <w:name w:val="List Note"/>
    <w:basedOn w:val="List"/>
    <w:rsid w:val="00782A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2A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2A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2A39"/>
    <w:rPr>
      <w:rFonts w:ascii="Courier New" w:hAnsi="Courier New"/>
    </w:rPr>
  </w:style>
  <w:style w:type="paragraph" w:customStyle="1" w:styleId="NoteBullet">
    <w:name w:val="Note Bullet"/>
    <w:basedOn w:val="Note"/>
    <w:rsid w:val="00782A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2A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2A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2A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2A3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82A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2A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2A39"/>
    <w:rPr>
      <w:b/>
      <w:smallCaps/>
    </w:rPr>
  </w:style>
  <w:style w:type="paragraph" w:customStyle="1" w:styleId="TableListNumber">
    <w:name w:val="Table List Number"/>
    <w:basedOn w:val="ListNumber"/>
    <w:rsid w:val="00782A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2A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2A39"/>
    <w:pPr>
      <w:numPr>
        <w:numId w:val="7"/>
      </w:numPr>
    </w:pPr>
  </w:style>
  <w:style w:type="paragraph" w:customStyle="1" w:styleId="ListAlpha2">
    <w:name w:val="List Alpha 2"/>
    <w:basedOn w:val="List2"/>
    <w:rsid w:val="00782A39"/>
    <w:pPr>
      <w:numPr>
        <w:numId w:val="6"/>
      </w:numPr>
    </w:pPr>
  </w:style>
  <w:style w:type="paragraph" w:styleId="List2">
    <w:name w:val="List 2"/>
    <w:basedOn w:val="BodyText"/>
    <w:rsid w:val="00782A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2A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2A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2A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2A3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2A3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82A39"/>
    <w:pPr>
      <w:numPr>
        <w:numId w:val="2"/>
      </w:numPr>
    </w:pPr>
  </w:style>
  <w:style w:type="paragraph" w:styleId="ListContinue2">
    <w:name w:val="List Continue 2"/>
    <w:basedOn w:val="List2"/>
    <w:rsid w:val="00782A39"/>
    <w:pPr>
      <w:ind w:firstLine="0"/>
    </w:pPr>
  </w:style>
  <w:style w:type="paragraph" w:styleId="ListContinue3">
    <w:name w:val="List Continue 3"/>
    <w:basedOn w:val="List3"/>
    <w:rsid w:val="00782A39"/>
    <w:pPr>
      <w:ind w:left="1021" w:firstLine="0"/>
    </w:pPr>
  </w:style>
  <w:style w:type="paragraph" w:styleId="ListContinue4">
    <w:name w:val="List Continue 4"/>
    <w:basedOn w:val="List4"/>
    <w:rsid w:val="00782A39"/>
    <w:pPr>
      <w:ind w:firstLine="0"/>
    </w:pPr>
  </w:style>
  <w:style w:type="paragraph" w:styleId="ListContinue5">
    <w:name w:val="List Continue 5"/>
    <w:basedOn w:val="List5"/>
    <w:rsid w:val="00782A39"/>
    <w:pPr>
      <w:ind w:firstLine="0"/>
    </w:pPr>
  </w:style>
  <w:style w:type="paragraph" w:styleId="ListNumber3">
    <w:name w:val="List Number 3"/>
    <w:basedOn w:val="List3"/>
    <w:rsid w:val="00782A39"/>
    <w:pPr>
      <w:numPr>
        <w:numId w:val="3"/>
      </w:numPr>
    </w:pPr>
  </w:style>
  <w:style w:type="paragraph" w:styleId="ListNumber4">
    <w:name w:val="List Number 4"/>
    <w:basedOn w:val="List4"/>
    <w:rsid w:val="00782A39"/>
    <w:pPr>
      <w:numPr>
        <w:numId w:val="4"/>
      </w:numPr>
    </w:pPr>
  </w:style>
  <w:style w:type="paragraph" w:styleId="ListNumber5">
    <w:name w:val="List Number 5"/>
    <w:basedOn w:val="List5"/>
    <w:rsid w:val="00782A39"/>
    <w:pPr>
      <w:numPr>
        <w:numId w:val="5"/>
      </w:numPr>
    </w:pPr>
  </w:style>
  <w:style w:type="paragraph" w:styleId="BlockText">
    <w:name w:val="Block Text"/>
    <w:basedOn w:val="Normal"/>
    <w:rsid w:val="00782A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2A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2A39"/>
    <w:rPr>
      <w:sz w:val="16"/>
      <w:vertAlign w:val="superscript"/>
    </w:rPr>
  </w:style>
  <w:style w:type="character" w:customStyle="1" w:styleId="Symbols">
    <w:name w:val="Symbols"/>
    <w:basedOn w:val="DefaultParagraphFont"/>
    <w:rsid w:val="00782A39"/>
    <w:rPr>
      <w:rFonts w:ascii="Symbol" w:hAnsi="Symbol"/>
    </w:rPr>
  </w:style>
  <w:style w:type="character" w:customStyle="1" w:styleId="MenuOptions">
    <w:name w:val="Menu Options"/>
    <w:basedOn w:val="DefaultParagraphFont"/>
    <w:rsid w:val="00782A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2A39"/>
    <w:rPr>
      <w:b/>
    </w:rPr>
  </w:style>
  <w:style w:type="character" w:customStyle="1" w:styleId="Underlined">
    <w:name w:val="Underlined"/>
    <w:basedOn w:val="DefaultParagraphFont"/>
    <w:rsid w:val="00782A39"/>
    <w:rPr>
      <w:u w:val="single"/>
    </w:rPr>
  </w:style>
  <w:style w:type="paragraph" w:customStyle="1" w:styleId="TableBodyTextRight">
    <w:name w:val="Table Body Text Right"/>
    <w:basedOn w:val="TableBodyText"/>
    <w:rsid w:val="00782A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2A39"/>
    <w:rPr>
      <w:sz w:val="18"/>
    </w:rPr>
  </w:style>
  <w:style w:type="paragraph" w:customStyle="1" w:styleId="BodySmallRight">
    <w:name w:val="Body Small Right"/>
    <w:basedOn w:val="BodyTextRight"/>
    <w:rsid w:val="00782A39"/>
    <w:rPr>
      <w:sz w:val="18"/>
      <w:szCs w:val="18"/>
    </w:rPr>
  </w:style>
  <w:style w:type="paragraph" w:customStyle="1" w:styleId="MarginEdition">
    <w:name w:val="Margin Edition"/>
    <w:basedOn w:val="MarginNote"/>
    <w:rsid w:val="00782A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2A39"/>
    <w:rPr>
      <w:sz w:val="2"/>
      <w:szCs w:val="2"/>
    </w:rPr>
  </w:style>
  <w:style w:type="character" w:customStyle="1" w:styleId="Small">
    <w:name w:val="Small"/>
    <w:basedOn w:val="DefaultParagraphFont"/>
    <w:rsid w:val="00782A39"/>
    <w:rPr>
      <w:sz w:val="16"/>
    </w:rPr>
  </w:style>
  <w:style w:type="paragraph" w:customStyle="1" w:styleId="WideTable">
    <w:name w:val="Wide Table"/>
    <w:basedOn w:val="Normal"/>
    <w:rsid w:val="00782A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2A39"/>
  </w:style>
  <w:style w:type="paragraph" w:styleId="Quote">
    <w:name w:val="Quote"/>
    <w:basedOn w:val="Heading1"/>
    <w:link w:val="QuoteChar"/>
    <w:qFormat/>
    <w:rsid w:val="00782A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2A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2A39"/>
    <w:pPr>
      <w:pageBreakBefore/>
    </w:pPr>
  </w:style>
  <w:style w:type="paragraph" w:customStyle="1" w:styleId="Border">
    <w:name w:val="Border"/>
    <w:basedOn w:val="Normal"/>
    <w:qFormat/>
    <w:rsid w:val="00782A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2A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2A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2A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2A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2A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2A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2A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2A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2A39"/>
    <w:rPr>
      <w:u w:val="single"/>
    </w:rPr>
  </w:style>
  <w:style w:type="character" w:customStyle="1" w:styleId="BoldandItalics">
    <w:name w:val="Bold and Italics"/>
    <w:qFormat/>
    <w:rsid w:val="00782A39"/>
    <w:rPr>
      <w:b/>
      <w:i/>
      <w:u w:val="none"/>
    </w:rPr>
  </w:style>
  <w:style w:type="paragraph" w:styleId="BalloonText">
    <w:name w:val="Balloon Text"/>
    <w:basedOn w:val="Normal"/>
    <w:link w:val="BalloonTextChar"/>
    <w:rsid w:val="00782A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2A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2A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2A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2A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2A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2A39"/>
    <w:pPr>
      <w:spacing w:before="0" w:after="0"/>
    </w:pPr>
  </w:style>
  <w:style w:type="paragraph" w:customStyle="1" w:styleId="BodyTextBold">
    <w:name w:val="Body Text Bold"/>
    <w:basedOn w:val="BodyText"/>
    <w:qFormat/>
    <w:rsid w:val="00782A39"/>
    <w:rPr>
      <w:b/>
    </w:rPr>
  </w:style>
  <w:style w:type="character" w:styleId="Hyperlink">
    <w:name w:val="Hyperlink"/>
    <w:basedOn w:val="DefaultParagraphFont"/>
    <w:uiPriority w:val="99"/>
    <w:unhideWhenUsed/>
    <w:rsid w:val="005B52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359</Words>
  <Characters>2296</Characters>
  <Application>Microsoft Office Word</Application>
  <DocSecurity>0</DocSecurity>
  <Lines>120</Lines>
  <Paragraphs>68</Paragraphs>
  <ScaleCrop>false</ScaleCrop>
  <Company>Author-it Software Corporation Ltd.</Company>
  <LinksUpToDate>false</LinksUpToDate>
  <CharactersWithSpaces>2587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MEM14002 Undertake basic process planning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2023-02-03T05:48:00Z</dcterms:created>
  <dcterms:modified xsi:type="dcterms:W3CDTF">2023-02-03T05:48:00Z</dcterms:modified>
</cp:coreProperties>
</file>