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33D" w:rsidP="00213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MEM13016 Work in hazardous areas</w:t>
      </w:r>
      <w:r>
        <w:fldChar w:fldCharType="end"/>
      </w:r>
    </w:p>
    <w:p w:rsidR="0021333D" w:rsidP="0021333D">
      <w:pPr>
        <w:pStyle w:val="Version"/>
        <w:sectPr w:rsidSect="00BB5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55A3" w:rsidP="00BB55A3">
      <w:pPr>
        <w:pStyle w:val="SuperHeading"/>
      </w:pPr>
      <w:r w:rsidRPr="00BB55A3">
        <w:t>Assessment Requirements for MEM13016 Work in hazardous areas</w:t>
      </w:r>
    </w:p>
    <w:p w:rsidR="00000000" w:rsidRPr="00BB55A3" w:rsidP="00BB55A3">
      <w:pPr>
        <w:pStyle w:val="Heading1"/>
      </w:pPr>
      <w:bookmarkStart w:id="1" w:name="O_968730"/>
      <w:bookmarkEnd w:id="1"/>
      <w:r w:rsidRPr="00BB55A3">
        <w:t>Modification History</w:t>
      </w:r>
    </w:p>
    <w:p w:rsidR="00000000" w:rsidRPr="00BB55A3" w:rsidP="0021333D">
      <w:pPr>
        <w:pStyle w:val="List"/>
      </w:pPr>
      <w:r w:rsidRPr="00BB55A3">
        <w:t>Release 2. Prerequisite units updated</w:t>
      </w:r>
    </w:p>
    <w:p w:rsidR="00000000" w:rsidRPr="00BB55A3" w:rsidP="0021333D">
      <w:pPr>
        <w:pStyle w:val="List"/>
      </w:pPr>
      <w:r w:rsidRPr="00BB55A3">
        <w:t>Release 1. New unit</w:t>
      </w:r>
    </w:p>
    <w:p w:rsidR="00000000" w:rsidRPr="00BB55A3" w:rsidP="00BB55A3">
      <w:pPr>
        <w:pStyle w:val="AllowPageBreak"/>
      </w:pPr>
    </w:p>
    <w:p w:rsidR="00000000" w:rsidRPr="00BB55A3" w:rsidP="00BB55A3">
      <w:pPr>
        <w:pStyle w:val="Heading1"/>
      </w:pPr>
      <w:bookmarkStart w:id="2" w:name="O_968729"/>
      <w:bookmarkEnd w:id="2"/>
      <w:r w:rsidRPr="00BB55A3">
        <w:t>Performance Evidence</w:t>
      </w:r>
    </w:p>
    <w:p w:rsidR="00000000" w:rsidRPr="00BB55A3" w:rsidP="0021333D">
      <w:pPr>
        <w:pStyle w:val="BodyText"/>
      </w:pPr>
      <w:r w:rsidRPr="00BB55A3">
        <w:t>Evidence required to demonstrate competence in this unit must be relevant to and satisfy the requirements of the elements a</w:t>
      </w:r>
      <w:r w:rsidRPr="00BB55A3">
        <w:t>nd performance criteria on at least two (2) occasions and include:</w:t>
      </w:r>
    </w:p>
    <w:p w:rsidR="00000000" w:rsidRPr="00BB55A3" w:rsidP="00BB55A3">
      <w:pPr>
        <w:pStyle w:val="ListBullet"/>
      </w:pPr>
      <w:r w:rsidRPr="00BB55A3">
        <w:t xml:space="preserve">following work instructions, SOPs and safe work practices </w:t>
      </w:r>
    </w:p>
    <w:p w:rsidR="00000000" w:rsidRPr="00BB55A3" w:rsidP="00BB55A3">
      <w:pPr>
        <w:pStyle w:val="ListBullet"/>
      </w:pPr>
      <w:r w:rsidRPr="00BB55A3">
        <w:t>obtaining the relevant work permits and informing appropriate personnel prior to commencing work</w:t>
      </w:r>
    </w:p>
    <w:p w:rsidR="00000000" w:rsidRPr="00BB55A3" w:rsidP="00BB55A3">
      <w:pPr>
        <w:pStyle w:val="ListBullet"/>
      </w:pPr>
      <w:r w:rsidRPr="00BB55A3">
        <w:t>identifying and interpreting haz</w:t>
      </w:r>
      <w:r w:rsidRPr="00BB55A3">
        <w:t>ardous layout drawings and interpreting markings of hazardous areas classifications relevant to the work to be undertaken</w:t>
      </w:r>
    </w:p>
    <w:p w:rsidR="00000000" w:rsidRPr="00BB55A3" w:rsidP="00BB55A3">
      <w:pPr>
        <w:pStyle w:val="ListBullet"/>
      </w:pPr>
      <w:r w:rsidRPr="00BB55A3">
        <w:t>identifying hazards specific to hazardous areas and implementing appropriate risk control measures</w:t>
      </w:r>
    </w:p>
    <w:p w:rsidR="00000000" w:rsidRPr="00BB55A3" w:rsidP="00BB55A3">
      <w:pPr>
        <w:pStyle w:val="ListBullet"/>
      </w:pPr>
      <w:r w:rsidRPr="00BB55A3">
        <w:t>checking and testing equipment to e</w:t>
      </w:r>
      <w:r w:rsidRPr="00BB55A3">
        <w:t xml:space="preserve">nsure functionality of equipment </w:t>
      </w:r>
    </w:p>
    <w:p w:rsidR="00000000" w:rsidRPr="00BB55A3" w:rsidP="00BB55A3">
      <w:pPr>
        <w:pStyle w:val="ListBullet"/>
      </w:pPr>
      <w:r w:rsidRPr="00BB55A3">
        <w:t>identifying defective or unsuitable equipment and sourcing replacement items with the correct equipment certification</w:t>
      </w:r>
    </w:p>
    <w:p w:rsidR="00000000" w:rsidRPr="00BB55A3" w:rsidP="00BB55A3">
      <w:pPr>
        <w:pStyle w:val="ListBullet"/>
      </w:pPr>
      <w:r w:rsidRPr="00BB55A3">
        <w:t>carrying out adjustments or permitted repairs using appropriate tools, equipment and techniques in accor</w:t>
      </w:r>
      <w:r w:rsidRPr="00BB55A3">
        <w:t>dance with procedures and specifications</w:t>
      </w:r>
    </w:p>
    <w:p w:rsidR="00000000" w:rsidRPr="00BB55A3" w:rsidP="00BB55A3">
      <w:pPr>
        <w:pStyle w:val="ListBullet"/>
      </w:pPr>
      <w:r w:rsidRPr="00BB55A3">
        <w:t>ensuring all completed work and testing complies with the relevant EEHA standard along with equipment conformity certificate requirements and special conditions</w:t>
      </w:r>
    </w:p>
    <w:p w:rsidR="00000000" w:rsidRPr="00BB55A3" w:rsidP="00BB55A3">
      <w:pPr>
        <w:pStyle w:val="ListBullet"/>
      </w:pPr>
      <w:r w:rsidRPr="00BB55A3">
        <w:t>documenting all inspection and maintenance work in acc</w:t>
      </w:r>
      <w:r w:rsidRPr="00BB55A3">
        <w:t>ordance regulatory requirements and SOPs.</w:t>
      </w:r>
    </w:p>
    <w:p w:rsidR="00000000" w:rsidRPr="00BB55A3" w:rsidP="00BB55A3">
      <w:pPr>
        <w:pStyle w:val="AllowPageBreak"/>
      </w:pPr>
    </w:p>
    <w:p w:rsidR="00000000" w:rsidRPr="00BB55A3" w:rsidP="00BB55A3">
      <w:pPr>
        <w:pStyle w:val="Heading1"/>
      </w:pPr>
      <w:bookmarkStart w:id="3" w:name="O_968728"/>
      <w:bookmarkEnd w:id="3"/>
      <w:r w:rsidRPr="00BB55A3">
        <w:t>Knowledge Evidence</w:t>
      </w:r>
    </w:p>
    <w:p w:rsidR="00000000" w:rsidRPr="00BB55A3" w:rsidP="0021333D">
      <w:pPr>
        <w:pStyle w:val="BodyText"/>
      </w:pPr>
      <w:r w:rsidRPr="00BB55A3">
        <w:t>Evidence required to demonstrate the required knowledge for this unit must be relevant to and satisfy the requirements of the elements and performance criteria and include knowle</w:t>
      </w:r>
      <w:r w:rsidRPr="00BB55A3">
        <w:t>dge of:</w:t>
      </w:r>
    </w:p>
    <w:p w:rsidR="00000000" w:rsidRPr="00BB55A3" w:rsidP="00BB55A3">
      <w:pPr>
        <w:pStyle w:val="ListBullet"/>
      </w:pPr>
      <w:r w:rsidRPr="00BB55A3">
        <w:t>safe work practices and procedures and use of PPE</w:t>
      </w:r>
    </w:p>
    <w:p w:rsidR="00000000" w:rsidRPr="00BB55A3" w:rsidP="00BB55A3">
      <w:pPr>
        <w:pStyle w:val="ListBullet"/>
      </w:pPr>
      <w:r w:rsidRPr="00BB55A3">
        <w:t>history and reasoning behind the EEHA Standards and accreditation creation</w:t>
      </w:r>
    </w:p>
    <w:p w:rsidR="00000000" w:rsidRPr="00BB55A3" w:rsidP="00BB55A3">
      <w:pPr>
        <w:pStyle w:val="ListBullet"/>
      </w:pPr>
      <w:r w:rsidRPr="00BB55A3">
        <w:t>aspects of hazardous area classification regarding zoning, gas group and temperature class</w:t>
      </w:r>
    </w:p>
    <w:p w:rsidR="00000000" w:rsidRPr="00BB55A3" w:rsidP="00BB55A3">
      <w:pPr>
        <w:pStyle w:val="ListBullet"/>
      </w:pPr>
      <w:r w:rsidRPr="00BB55A3">
        <w:t>markings of classifications on technical drawings</w:t>
      </w:r>
    </w:p>
    <w:p w:rsidR="00000000" w:rsidRPr="00BB55A3" w:rsidP="00BB55A3">
      <w:pPr>
        <w:pStyle w:val="ListBullet"/>
      </w:pPr>
      <w:r w:rsidRPr="00BB55A3">
        <w:t>situations which may alter the source of release conditions, thereby affecting the classification of an area</w:t>
      </w:r>
    </w:p>
    <w:p w:rsidR="00000000" w:rsidRPr="00BB55A3" w:rsidP="00BB55A3">
      <w:pPr>
        <w:pStyle w:val="ListBullet"/>
      </w:pPr>
      <w:r w:rsidRPr="00BB55A3">
        <w:t>hazards specific to hazardous areas</w:t>
      </w:r>
    </w:p>
    <w:p w:rsidR="00000000" w:rsidRPr="00BB55A3" w:rsidP="00BB55A3">
      <w:pPr>
        <w:pStyle w:val="ListBullet"/>
      </w:pPr>
      <w:r w:rsidRPr="00BB55A3">
        <w:t>different methods of protection, including:</w:t>
      </w:r>
    </w:p>
    <w:p w:rsidR="00000000" w:rsidRPr="00BB55A3" w:rsidP="00BB55A3">
      <w:pPr>
        <w:pStyle w:val="ListBullet2"/>
      </w:pPr>
      <w:r w:rsidRPr="00BB55A3">
        <w:t>Ex-d</w:t>
      </w:r>
    </w:p>
    <w:p w:rsidR="00000000" w:rsidRPr="00BB55A3" w:rsidP="00BB55A3">
      <w:pPr>
        <w:pStyle w:val="ListBullet2"/>
      </w:pPr>
      <w:r w:rsidRPr="00BB55A3">
        <w:t>Ex-e</w:t>
      </w:r>
    </w:p>
    <w:p w:rsidR="00000000" w:rsidRPr="00BB55A3" w:rsidP="00BB55A3">
      <w:pPr>
        <w:pStyle w:val="ListBullet2"/>
      </w:pPr>
      <w:r w:rsidRPr="00BB55A3">
        <w:t>Ex-n</w:t>
      </w:r>
    </w:p>
    <w:p w:rsidR="00000000" w:rsidRPr="00BB55A3" w:rsidP="00BB55A3">
      <w:pPr>
        <w:pStyle w:val="ListBullet2"/>
      </w:pPr>
      <w:r w:rsidRPr="00BB55A3">
        <w:t>E</w:t>
      </w:r>
      <w:r w:rsidRPr="00BB55A3">
        <w:t>x-l</w:t>
      </w:r>
    </w:p>
    <w:p w:rsidR="00000000" w:rsidRPr="00BB55A3" w:rsidP="00BB55A3">
      <w:pPr>
        <w:pStyle w:val="ListBullet2"/>
      </w:pPr>
      <w:r w:rsidRPr="00BB55A3">
        <w:t>Ex-p</w:t>
      </w:r>
    </w:p>
    <w:p w:rsidR="00000000" w:rsidRPr="00BB55A3" w:rsidP="00BB55A3">
      <w:pPr>
        <w:pStyle w:val="ListBullet2"/>
      </w:pPr>
      <w:r w:rsidRPr="00BB55A3">
        <w:t>Ex-m</w:t>
      </w:r>
    </w:p>
    <w:p w:rsidR="00000000" w:rsidRPr="00BB55A3" w:rsidP="00BB55A3">
      <w:pPr>
        <w:pStyle w:val="ListBullet"/>
      </w:pPr>
      <w:r w:rsidRPr="00BB55A3">
        <w:t>relationship between the classification ratings of the equipment to the classification ratings of the area</w:t>
      </w:r>
    </w:p>
    <w:p w:rsidR="00000000" w:rsidRPr="00BB55A3" w:rsidP="00BB55A3">
      <w:pPr>
        <w:pStyle w:val="ListBullet"/>
      </w:pPr>
      <w:r w:rsidRPr="00BB55A3">
        <w:t>importance of earthing</w:t>
      </w:r>
    </w:p>
    <w:p w:rsidR="00000000" w:rsidRPr="00BB55A3" w:rsidP="00BB55A3">
      <w:pPr>
        <w:pStyle w:val="ListBullet"/>
      </w:pPr>
      <w:r w:rsidRPr="00BB55A3">
        <w:t xml:space="preserve">testing and certifying bodies, including International Electrotechnical Commission (IEC), Ex, ATEX, AUSEx, CSA </w:t>
      </w:r>
      <w:r w:rsidRPr="00BB55A3">
        <w:t>and Fm</w:t>
      </w:r>
    </w:p>
    <w:p w:rsidR="00000000" w:rsidRPr="00BB55A3" w:rsidP="00BB55A3">
      <w:pPr>
        <w:pStyle w:val="ListBullet"/>
      </w:pPr>
      <w:r w:rsidRPr="00BB55A3">
        <w:t xml:space="preserve">documentation required for inspections.  </w:t>
      </w:r>
    </w:p>
    <w:p w:rsidR="00000000" w:rsidRPr="00BB55A3" w:rsidP="00BB55A3">
      <w:pPr>
        <w:pStyle w:val="AllowPageBreak"/>
      </w:pPr>
    </w:p>
    <w:p w:rsidR="00000000" w:rsidRPr="00BB55A3" w:rsidP="00BB55A3">
      <w:pPr>
        <w:pStyle w:val="Heading1"/>
      </w:pPr>
      <w:bookmarkStart w:id="4" w:name="O_968727"/>
      <w:bookmarkEnd w:id="4"/>
      <w:r w:rsidRPr="00BB55A3">
        <w:t>Assessment Conditions</w:t>
      </w:r>
    </w:p>
    <w:p w:rsidR="00000000" w:rsidRPr="00BB55A3" w:rsidP="0021333D">
      <w:pPr>
        <w:pStyle w:val="BodyText"/>
      </w:pPr>
      <w:r w:rsidRPr="00BB55A3">
        <w:t>Assessors must:</w:t>
      </w:r>
    </w:p>
    <w:p w:rsidR="00000000" w:rsidRPr="00BB55A3" w:rsidP="00BB55A3">
      <w:pPr>
        <w:pStyle w:val="ListBullet"/>
      </w:pPr>
      <w:r w:rsidRPr="00BB55A3">
        <w:t>have vocational competency in working in hazardous areas at least to the level being assessed with relevant industry knowledge and experience.</w:t>
      </w:r>
    </w:p>
    <w:p w:rsidR="00000000" w:rsidRPr="00BB55A3" w:rsidP="00BB55A3">
      <w:pPr>
        <w:pStyle w:val="ListBullet"/>
      </w:pPr>
      <w:r w:rsidRPr="00BB55A3">
        <w:t xml:space="preserve">satisfy the assessor requirements in the </w:t>
      </w:r>
      <w:r w:rsidRPr="00BB55A3">
        <w:rPr>
          <w:rStyle w:val="Emphasis"/>
        </w:rPr>
        <w:t xml:space="preserve">Standards for Registered Training Organisations 2015 </w:t>
      </w:r>
      <w:r w:rsidRPr="00BB55A3">
        <w:t xml:space="preserve">and comply with the </w:t>
      </w:r>
      <w:r w:rsidRPr="00BB55A3">
        <w:rPr>
          <w:rStyle w:val="Emphasis"/>
        </w:rPr>
        <w:t xml:space="preserve">National Vocational Education and Training Regulator Act 2011 </w:t>
      </w:r>
      <w:r w:rsidRPr="00BB55A3">
        <w:t>or equivalent legislation covering VET regulation in a non-referring State as th</w:t>
      </w:r>
      <w:r w:rsidRPr="00BB55A3">
        <w:t>e case requires.</w:t>
      </w:r>
    </w:p>
    <w:p w:rsidR="00000000" w:rsidRPr="00BB55A3" w:rsidP="00BB55A3">
      <w:pPr>
        <w:pStyle w:val="BodyText"/>
      </w:pPr>
    </w:p>
    <w:p w:rsidR="00000000" w:rsidRPr="00BB55A3" w:rsidP="0021333D">
      <w:pPr>
        <w:pStyle w:val="BodyText"/>
      </w:pPr>
      <w:r w:rsidRPr="00BB55A3">
        <w:t>Where possible assessment must occur in operational workplace situations. Where this is not possible or where personal safety or environmental damage are limiting factors, assessment must occur in a sufficiently rigorous simulated environ</w:t>
      </w:r>
      <w:r w:rsidRPr="00BB55A3">
        <w:t>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BB55A3" w:rsidP="0021333D">
      <w:pPr>
        <w:pStyle w:val="BodyText"/>
      </w:pPr>
      <w:r w:rsidRPr="00BB55A3">
        <w:t>Conditions for assess</w:t>
      </w:r>
      <w:r w:rsidRPr="00BB55A3">
        <w:t>ment must include access to all tools, equipment, materials and documentation required, including relevant workplace procedures, product and manufacturer specifications.</w:t>
      </w:r>
    </w:p>
    <w:p w:rsidR="00000000" w:rsidRPr="00BB55A3" w:rsidP="0021333D">
      <w:pPr>
        <w:pStyle w:val="BodyText"/>
      </w:pPr>
      <w:r w:rsidRPr="00BB55A3">
        <w:t>Assessment processes and techniques must be appropriate to the language, literacy and</w:t>
      </w:r>
      <w:r w:rsidRPr="00BB55A3">
        <w:t xml:space="preserve"> numeracy requirements of the work being performed and the needs of the candidate.</w:t>
      </w:r>
    </w:p>
    <w:p w:rsidR="00000000" w:rsidRPr="00BB55A3" w:rsidP="00BB55A3">
      <w:pPr>
        <w:pStyle w:val="Heading1"/>
      </w:pPr>
      <w:bookmarkStart w:id="5" w:name="O_968742"/>
      <w:bookmarkEnd w:id="5"/>
      <w:r w:rsidRPr="00BB55A3">
        <w:t>Links</w:t>
      </w:r>
    </w:p>
    <w:p w:rsidR="00000000" w:rsidRPr="00BB55A3" w:rsidP="0021333D">
      <w:pPr>
        <w:pStyle w:val="BodyText"/>
      </w:pPr>
      <w:r w:rsidRPr="00BB5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04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55A3" w:rsidP="00BB55A3"/>
    <w:sectPr w:rsidSect="00BB5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3" w:rsidRPr="0021333D" w:rsidP="00213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D" w:rsidP="00BB5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33D" w:rsidP="00BB5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333D" w:rsidP="00BB5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5A3" w:rsidRPr="0021333D" w:rsidP="00213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3D" w:rsidRPr="002D2AF8" w:rsidP="00BB5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MEM13016 Work in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333D" w:rsidP="00BB5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16D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382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4C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5A3"/>
  </w:style>
  <w:style w:type="character" w:customStyle="1" w:styleId="Heading1Char">
    <w:name w:val="Heading 1 Char"/>
    <w:basedOn w:val="DefaultParagraphFont"/>
    <w:link w:val="Heading1"/>
    <w:rsid w:val="00BB5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5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55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5A3"/>
    <w:rPr>
      <w:i/>
    </w:rPr>
  </w:style>
  <w:style w:type="paragraph" w:customStyle="1" w:styleId="SuperHeading">
    <w:name w:val="SuperHeading"/>
    <w:basedOn w:val="Normal"/>
    <w:rsid w:val="00BB5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5A3"/>
    <w:rPr>
      <w:b/>
      <w:spacing w:val="0"/>
    </w:rPr>
  </w:style>
  <w:style w:type="paragraph" w:customStyle="1" w:styleId="SuperTitle">
    <w:name w:val="SuperTitle"/>
    <w:basedOn w:val="Title"/>
    <w:rsid w:val="00BB5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5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5A3"/>
  </w:style>
  <w:style w:type="paragraph" w:styleId="TableofFigures">
    <w:name w:val="table of figures"/>
    <w:basedOn w:val="Normal"/>
    <w:next w:val="Normal"/>
    <w:semiHidden/>
    <w:rsid w:val="00BB5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5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5A3"/>
    <w:rPr>
      <w:rFonts w:ascii="Wingdings" w:hAnsi="Wingdings"/>
    </w:rPr>
  </w:style>
  <w:style w:type="paragraph" w:customStyle="1" w:styleId="TableHeading">
    <w:name w:val="Table Heading"/>
    <w:basedOn w:val="HeadingBase"/>
    <w:rsid w:val="00BB5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5A3"/>
    <w:rPr>
      <w:color w:val="0033CC"/>
      <w:u w:val="none"/>
    </w:rPr>
  </w:style>
  <w:style w:type="paragraph" w:customStyle="1" w:styleId="BodyTextRight">
    <w:name w:val="Body Text Right"/>
    <w:basedOn w:val="BodyText"/>
    <w:rsid w:val="00BB5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5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5A3"/>
    <w:rPr>
      <w:sz w:val="32"/>
    </w:rPr>
  </w:style>
  <w:style w:type="paragraph" w:customStyle="1" w:styleId="HeadingProcedure">
    <w:name w:val="Heading Procedure"/>
    <w:basedOn w:val="HeadingBase"/>
    <w:next w:val="Normal"/>
    <w:rsid w:val="00BB5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5A3"/>
    <w:pPr>
      <w:spacing w:before="60" w:after="60"/>
    </w:pPr>
  </w:style>
  <w:style w:type="paragraph" w:styleId="ListContinue">
    <w:name w:val="List Continue"/>
    <w:basedOn w:val="List"/>
    <w:rsid w:val="00BB55A3"/>
    <w:pPr>
      <w:ind w:firstLine="0"/>
    </w:pPr>
  </w:style>
  <w:style w:type="paragraph" w:customStyle="1" w:styleId="ListNote">
    <w:name w:val="List Note"/>
    <w:basedOn w:val="List"/>
    <w:rsid w:val="00BB5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5A3"/>
    <w:rPr>
      <w:rFonts w:ascii="Courier New" w:hAnsi="Courier New"/>
    </w:rPr>
  </w:style>
  <w:style w:type="paragraph" w:customStyle="1" w:styleId="NoteBullet">
    <w:name w:val="Note Bullet"/>
    <w:basedOn w:val="Note"/>
    <w:rsid w:val="00BB5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5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5A3"/>
    <w:rPr>
      <w:b/>
      <w:smallCaps/>
    </w:rPr>
  </w:style>
  <w:style w:type="paragraph" w:customStyle="1" w:styleId="TableListNumber">
    <w:name w:val="Table List Number"/>
    <w:basedOn w:val="ListNumber"/>
    <w:rsid w:val="00BB5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5A3"/>
    <w:pPr>
      <w:numPr>
        <w:numId w:val="9"/>
      </w:numPr>
    </w:pPr>
  </w:style>
  <w:style w:type="paragraph" w:customStyle="1" w:styleId="ListAlpha2">
    <w:name w:val="List Alpha 2"/>
    <w:basedOn w:val="List2"/>
    <w:rsid w:val="00BB55A3"/>
    <w:pPr>
      <w:numPr>
        <w:numId w:val="8"/>
      </w:numPr>
    </w:pPr>
  </w:style>
  <w:style w:type="paragraph" w:styleId="List2">
    <w:name w:val="List 2"/>
    <w:basedOn w:val="BodyText"/>
    <w:rsid w:val="00BB5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5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5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5A3"/>
    <w:pPr>
      <w:numPr>
        <w:numId w:val="4"/>
      </w:numPr>
    </w:pPr>
  </w:style>
  <w:style w:type="paragraph" w:styleId="ListContinue2">
    <w:name w:val="List Continue 2"/>
    <w:basedOn w:val="List2"/>
    <w:rsid w:val="00BB55A3"/>
    <w:pPr>
      <w:ind w:firstLine="0"/>
    </w:pPr>
  </w:style>
  <w:style w:type="paragraph" w:styleId="ListContinue3">
    <w:name w:val="List Continue 3"/>
    <w:basedOn w:val="List3"/>
    <w:rsid w:val="00BB55A3"/>
    <w:pPr>
      <w:ind w:left="1021" w:firstLine="0"/>
    </w:pPr>
  </w:style>
  <w:style w:type="paragraph" w:styleId="ListContinue4">
    <w:name w:val="List Continue 4"/>
    <w:basedOn w:val="List4"/>
    <w:rsid w:val="00BB55A3"/>
    <w:pPr>
      <w:ind w:firstLine="0"/>
    </w:pPr>
  </w:style>
  <w:style w:type="paragraph" w:styleId="ListContinue5">
    <w:name w:val="List Continue 5"/>
    <w:basedOn w:val="List5"/>
    <w:rsid w:val="00BB55A3"/>
    <w:pPr>
      <w:ind w:firstLine="0"/>
    </w:pPr>
  </w:style>
  <w:style w:type="paragraph" w:styleId="ListNumber3">
    <w:name w:val="List Number 3"/>
    <w:basedOn w:val="List3"/>
    <w:rsid w:val="00BB55A3"/>
    <w:pPr>
      <w:numPr>
        <w:numId w:val="5"/>
      </w:numPr>
    </w:pPr>
  </w:style>
  <w:style w:type="paragraph" w:styleId="ListNumber4">
    <w:name w:val="List Number 4"/>
    <w:basedOn w:val="List4"/>
    <w:rsid w:val="00BB55A3"/>
    <w:pPr>
      <w:numPr>
        <w:numId w:val="6"/>
      </w:numPr>
    </w:pPr>
  </w:style>
  <w:style w:type="paragraph" w:styleId="ListNumber5">
    <w:name w:val="List Number 5"/>
    <w:basedOn w:val="List5"/>
    <w:rsid w:val="00BB55A3"/>
    <w:pPr>
      <w:numPr>
        <w:numId w:val="7"/>
      </w:numPr>
    </w:pPr>
  </w:style>
  <w:style w:type="paragraph" w:styleId="BlockText">
    <w:name w:val="Block Text"/>
    <w:basedOn w:val="Normal"/>
    <w:rsid w:val="00BB5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5A3"/>
    <w:rPr>
      <w:sz w:val="16"/>
      <w:vertAlign w:val="superscript"/>
    </w:rPr>
  </w:style>
  <w:style w:type="character" w:customStyle="1" w:styleId="Symbols">
    <w:name w:val="Symbols"/>
    <w:basedOn w:val="DefaultParagraphFont"/>
    <w:rsid w:val="00BB55A3"/>
    <w:rPr>
      <w:rFonts w:ascii="Symbol" w:hAnsi="Symbol"/>
    </w:rPr>
  </w:style>
  <w:style w:type="character" w:customStyle="1" w:styleId="MenuOptions">
    <w:name w:val="Menu Options"/>
    <w:basedOn w:val="DefaultParagraphFont"/>
    <w:rsid w:val="00BB5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5A3"/>
    <w:rPr>
      <w:b/>
    </w:rPr>
  </w:style>
  <w:style w:type="character" w:customStyle="1" w:styleId="Underlined">
    <w:name w:val="Underlined"/>
    <w:basedOn w:val="DefaultParagraphFont"/>
    <w:rsid w:val="00BB55A3"/>
    <w:rPr>
      <w:u w:val="single"/>
    </w:rPr>
  </w:style>
  <w:style w:type="paragraph" w:customStyle="1" w:styleId="TableBodyTextRight">
    <w:name w:val="Table Body Text Right"/>
    <w:basedOn w:val="TableBodyText"/>
    <w:rsid w:val="00BB5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5A3"/>
    <w:rPr>
      <w:sz w:val="18"/>
    </w:rPr>
  </w:style>
  <w:style w:type="paragraph" w:customStyle="1" w:styleId="BodySmallRight">
    <w:name w:val="Body Small Right"/>
    <w:basedOn w:val="BodyTextRight"/>
    <w:rsid w:val="00BB55A3"/>
    <w:rPr>
      <w:sz w:val="18"/>
      <w:szCs w:val="18"/>
    </w:rPr>
  </w:style>
  <w:style w:type="paragraph" w:customStyle="1" w:styleId="MarginEdition">
    <w:name w:val="Margin Edition"/>
    <w:basedOn w:val="MarginNote"/>
    <w:rsid w:val="00BB5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5A3"/>
    <w:rPr>
      <w:sz w:val="2"/>
      <w:szCs w:val="2"/>
    </w:rPr>
  </w:style>
  <w:style w:type="character" w:customStyle="1" w:styleId="Small">
    <w:name w:val="Small"/>
    <w:basedOn w:val="DefaultParagraphFont"/>
    <w:rsid w:val="00BB55A3"/>
    <w:rPr>
      <w:sz w:val="16"/>
    </w:rPr>
  </w:style>
  <w:style w:type="paragraph" w:customStyle="1" w:styleId="WideTable">
    <w:name w:val="Wide Table"/>
    <w:basedOn w:val="Normal"/>
    <w:rsid w:val="00BB5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5A3"/>
  </w:style>
  <w:style w:type="paragraph" w:styleId="Quote">
    <w:name w:val="Quote"/>
    <w:basedOn w:val="Heading1"/>
    <w:link w:val="QuoteChar"/>
    <w:qFormat/>
    <w:rsid w:val="00BB5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5A3"/>
    <w:pPr>
      <w:pageBreakBefore/>
    </w:pPr>
  </w:style>
  <w:style w:type="paragraph" w:customStyle="1" w:styleId="Border">
    <w:name w:val="Border"/>
    <w:basedOn w:val="Normal"/>
    <w:qFormat/>
    <w:rsid w:val="00BB5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5A3"/>
    <w:rPr>
      <w:u w:val="single"/>
    </w:rPr>
  </w:style>
  <w:style w:type="character" w:customStyle="1" w:styleId="BoldandItalics">
    <w:name w:val="Bold and Italics"/>
    <w:qFormat/>
    <w:rsid w:val="00BB55A3"/>
    <w:rPr>
      <w:b/>
      <w:i/>
      <w:u w:val="none"/>
    </w:rPr>
  </w:style>
  <w:style w:type="paragraph" w:styleId="BalloonText">
    <w:name w:val="Balloon Text"/>
    <w:basedOn w:val="Normal"/>
    <w:link w:val="BalloonTextChar"/>
    <w:rsid w:val="00BB5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5A3"/>
    <w:pPr>
      <w:spacing w:before="0" w:after="0"/>
    </w:pPr>
  </w:style>
  <w:style w:type="paragraph" w:customStyle="1" w:styleId="BodyTextBold">
    <w:name w:val="Body Text Bold"/>
    <w:basedOn w:val="BodyText"/>
    <w:qFormat/>
    <w:rsid w:val="00BB55A3"/>
    <w:rPr>
      <w:b/>
    </w:rPr>
  </w:style>
  <w:style w:type="character" w:styleId="Hyperlink">
    <w:name w:val="Hyperlink"/>
    <w:basedOn w:val="DefaultParagraphFont"/>
    <w:uiPriority w:val="99"/>
    <w:unhideWhenUsed/>
    <w:rsid w:val="00213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3488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MEM13016 Work in hazardous areas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