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EAC" w:rsidP="00373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MEM13013 Work safely with ionizing radiation</w:t>
      </w:r>
      <w:r>
        <w:fldChar w:fldCharType="end"/>
      </w:r>
    </w:p>
    <w:p w:rsidR="00373EAC" w:rsidP="00373EAC">
      <w:pPr>
        <w:pStyle w:val="Version"/>
        <w:sectPr w:rsidSect="00BB4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96B" w:rsidP="00BB496B">
      <w:pPr>
        <w:pStyle w:val="SuperHeading"/>
      </w:pPr>
      <w:r w:rsidRPr="00BB496B">
        <w:t>MEM13013 Work safely with ionizing radiation</w:t>
      </w:r>
    </w:p>
    <w:p w:rsidR="00000000" w:rsidRPr="00BB496B" w:rsidP="00BB496B">
      <w:pPr>
        <w:pStyle w:val="Heading1"/>
      </w:pPr>
      <w:bookmarkStart w:id="1" w:name="O_949090"/>
      <w:bookmarkEnd w:id="1"/>
      <w:r w:rsidRPr="00BB496B">
        <w:t>Modification History</w:t>
      </w:r>
    </w:p>
    <w:p w:rsidR="00000000" w:rsidRPr="00BB496B" w:rsidP="00373EAC">
      <w:pPr>
        <w:pStyle w:val="BodyText"/>
      </w:pPr>
      <w:r w:rsidRPr="00BB496B">
        <w:t xml:space="preserve">Release 1. Supersedes and is equivalent to MEM13013B Work safely with ionizing radiation </w:t>
      </w:r>
    </w:p>
    <w:p w:rsidR="00000000" w:rsidRPr="00BB496B" w:rsidP="00BB496B">
      <w:pPr>
        <w:pStyle w:val="Heading1"/>
      </w:pPr>
      <w:bookmarkStart w:id="2" w:name="O_949098"/>
      <w:bookmarkEnd w:id="2"/>
      <w:r w:rsidRPr="00BB496B">
        <w:t>Application</w:t>
      </w:r>
    </w:p>
    <w:p w:rsidR="00000000" w:rsidRPr="00BB496B" w:rsidP="00373EAC">
      <w:pPr>
        <w:pStyle w:val="BodyText"/>
      </w:pPr>
      <w:r w:rsidRPr="00BB496B">
        <w:t>This unit of competency defines the skills and knowledge required to work safely with ionizing radiation when perfor</w:t>
      </w:r>
      <w:r w:rsidRPr="00BB496B">
        <w:t>ming radiographic testing in a range of open or closed industrial applications on fabrications, structures and components across a wide range of industries.</w:t>
      </w:r>
    </w:p>
    <w:p w:rsidR="00000000" w:rsidRPr="00BB496B" w:rsidP="00373EAC">
      <w:pPr>
        <w:pStyle w:val="BodyText"/>
      </w:pPr>
      <w:r w:rsidRPr="00BB496B">
        <w:t>The work can relate to scheduled and unscheduled maintenance activities, using general tools, spec</w:t>
      </w:r>
      <w:r w:rsidRPr="00BB496B">
        <w:t>ific radiographic testing equipment as specified in maintenance documentation, testing procedures or operator instructions.</w:t>
      </w:r>
    </w:p>
    <w:p w:rsidR="00000000" w:rsidRPr="00BB496B" w:rsidP="00373EAC">
      <w:pPr>
        <w:pStyle w:val="BodyText"/>
      </w:pPr>
      <w:r w:rsidRPr="00BB496B">
        <w:t>All testing must be completed with particular attention to personal and work health and safety (WHS) regulations. Certification aga</w:t>
      </w:r>
      <w:r w:rsidRPr="00BB496B">
        <w:t>inst Australian Standards can be achieved where assessment in this unit of competency is carried out in conjunction with an examining authority as described in ISO 9712 Non-destructive testing – Qualification and certification of non-destructive testing (N</w:t>
      </w:r>
      <w:r w:rsidRPr="00BB496B">
        <w:t>DT) personnel.</w:t>
      </w:r>
    </w:p>
    <w:p w:rsidR="00000000" w:rsidRPr="00BB496B" w:rsidP="00373EAC">
      <w:pPr>
        <w:pStyle w:val="BodyText"/>
      </w:pPr>
      <w:r w:rsidRPr="00BB496B">
        <w:t>Materials and chemicals which are subject to codes and regulations – for example, chemicals, explosives, solvents, dangerous materials, acids, or noxious waste products – must be subject to safe work habits and must be stored and used in ac</w:t>
      </w:r>
      <w:r w:rsidRPr="00BB496B">
        <w:t>cordance with safe work practices.</w:t>
      </w:r>
    </w:p>
    <w:p w:rsidR="00000000" w:rsidRPr="00BB496B" w:rsidP="00373EAC">
      <w:pPr>
        <w:pStyle w:val="BodyText"/>
      </w:pPr>
      <w:r w:rsidRPr="00BB496B">
        <w:t>This unit is a prerequisite to undertaking any other radiographic units of competency.</w:t>
      </w:r>
    </w:p>
    <w:p w:rsidR="00000000" w:rsidRPr="00BB496B" w:rsidP="00373EAC">
      <w:pPr>
        <w:pStyle w:val="BodyText"/>
      </w:pPr>
      <w:r w:rsidRPr="00BB496B">
        <w:t>Where interpretation of technical drawings is required unit MEM09002 Interpret technical drawing should also be selected.</w:t>
      </w:r>
    </w:p>
    <w:p w:rsidR="00000000" w:rsidRPr="00BB496B" w:rsidP="00373EAC">
      <w:pPr>
        <w:pStyle w:val="BodyText"/>
      </w:pPr>
      <w:r w:rsidRPr="00BB496B">
        <w:t>Where the</w:t>
      </w:r>
      <w:r w:rsidRPr="00BB496B">
        <w:t xml:space="preserve"> selection and use of engineering measurement is required unit MEM12023 Perform engineering measurements should also be selected.</w:t>
      </w:r>
    </w:p>
    <w:p w:rsidR="00000000" w:rsidRPr="00BB496B" w:rsidP="00373EAC">
      <w:pPr>
        <w:pStyle w:val="BodyText"/>
      </w:pPr>
      <w:r w:rsidRPr="00BB496B">
        <w:t>No licensing, legislative or certification requirements apply to this unit at the time of publication.</w:t>
      </w:r>
    </w:p>
    <w:p w:rsidR="00000000" w:rsidRPr="00BB496B" w:rsidP="00BB496B">
      <w:pPr>
        <w:pStyle w:val="BodyText"/>
      </w:pPr>
      <w:r w:rsidRPr="00BB496B">
        <w:rPr>
          <w:rStyle w:val="SpecialBold"/>
        </w:rPr>
        <w:t>Band</w:t>
      </w:r>
      <w:r w:rsidRPr="00BB496B">
        <w:t>:</w:t>
      </w:r>
      <w:r w:rsidRPr="00BB496B">
        <w:tab/>
      </w:r>
      <w:r w:rsidRPr="00BB496B">
        <w:rPr>
          <w:rStyle w:val="SpecialBold"/>
        </w:rPr>
        <w:t>A</w:t>
      </w:r>
    </w:p>
    <w:p w:rsidR="00000000" w:rsidRPr="00BB496B" w:rsidP="00BB496B">
      <w:pPr>
        <w:pStyle w:val="BodyText"/>
      </w:pPr>
      <w:r w:rsidRPr="00BB496B">
        <w:rPr>
          <w:rStyle w:val="SpecialBold"/>
        </w:rPr>
        <w:t>Unit Weight</w:t>
      </w:r>
      <w:r w:rsidRPr="00BB496B">
        <w:t>:</w:t>
      </w:r>
      <w:r w:rsidRPr="00BB496B">
        <w:tab/>
      </w:r>
      <w:r w:rsidRPr="00BB496B">
        <w:rPr>
          <w:rStyle w:val="SpecialBold"/>
        </w:rPr>
        <w:t>4</w:t>
      </w:r>
    </w:p>
    <w:p w:rsidR="00000000" w:rsidRPr="00BB496B" w:rsidP="00BB496B">
      <w:pPr>
        <w:pStyle w:val="AllowPageBreak"/>
      </w:pPr>
    </w:p>
    <w:p w:rsidR="00000000" w:rsidRPr="00BB496B" w:rsidP="00BB496B">
      <w:pPr>
        <w:pStyle w:val="Heading1"/>
      </w:pPr>
      <w:bookmarkStart w:id="3" w:name="O_949097"/>
      <w:bookmarkEnd w:id="3"/>
      <w:r w:rsidRPr="00BB496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Undertake manual handling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Work safely and effectively in manufacturing and engineering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Organise and communicate information</w:t>
            </w:r>
          </w:p>
        </w:tc>
      </w:tr>
    </w:tbl>
    <w:p w:rsidR="00000000" w:rsidRPr="00BB496B" w:rsidP="00BB496B">
      <w:pPr>
        <w:pStyle w:val="BodyText"/>
      </w:pPr>
    </w:p>
    <w:p w:rsidR="00000000" w:rsidRPr="00BB496B" w:rsidP="00BB496B">
      <w:pPr>
        <w:pStyle w:val="AllowPageBreak"/>
      </w:pPr>
    </w:p>
    <w:p w:rsidR="00000000" w:rsidRPr="00BB496B" w:rsidP="00BB496B">
      <w:pPr>
        <w:pStyle w:val="Heading1"/>
      </w:pPr>
      <w:bookmarkStart w:id="4" w:name="O_949096"/>
      <w:bookmarkEnd w:id="4"/>
      <w:r w:rsidRPr="00BB496B">
        <w:t>Competency Field</w:t>
      </w:r>
    </w:p>
    <w:p w:rsidR="00000000" w:rsidRPr="00BB496B" w:rsidP="00373EAC">
      <w:pPr>
        <w:pStyle w:val="BodyText"/>
      </w:pPr>
      <w:r w:rsidRPr="00BB496B">
        <w:t>Work health and safety</w:t>
      </w:r>
    </w:p>
    <w:p w:rsidR="00000000" w:rsidRPr="00BB496B" w:rsidP="00BB496B">
      <w:pPr>
        <w:pStyle w:val="Heading1"/>
      </w:pPr>
      <w:bookmarkStart w:id="5" w:name="O_949094"/>
      <w:bookmarkEnd w:id="5"/>
      <w:r w:rsidRPr="00BB49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Performance criteria describe the performance needed to demonstrate achievement of the element.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Follow standard operating procedures (SOPs)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Comply with work health and safety (WHS) requirements at all times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Use appropriate personal protective equipment (PPE) in accordance with SOPs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Identify job requirements from specifications, job sheets or work instructions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Identify the hazards and effects of ionizing radiation in the workplace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Identify the source of ionizing radiation in accordance with relevant organisational policy and procedures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Outline attenuation factors of ionizing radiation and the biological effects on living tissue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Identify the biological effects of radiat</w:t>
            </w:r>
            <w:r w:rsidRPr="00BB496B">
              <w:t>ion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Apply radiation safety procedures/plans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Employ appropriate ionizing radiation protective measures in accordance with relevant organisational policy and procedures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State and adhere to exposure limits for personnel as laid down by the radiation authorities in Australia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 xml:space="preserve">Determine minimum exposure rates/distances from calculations and charts 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Operate ionizing radiation sources in accordance with legislation, standards and/or organisational policy, procedures or guidelines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Select and use radiation monitoring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Select the tools and equipment necessary to monitor radiation and use, as required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Select and apply techniques and system verification checks necessary to monitor radiation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Document safety breaches and/or report in accordance with organisatio</w:t>
            </w:r>
            <w:r w:rsidRPr="00BB496B">
              <w:t>nal policy and procedures</w:t>
            </w: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</w:p>
        </w:tc>
      </w:tr>
      <w:tr w:rsidTr="00BB49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Respond to emergency situations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t>Demonstrate procedures for dealing with both X-ray and gamma ray emergency situations</w:t>
            </w:r>
          </w:p>
        </w:tc>
      </w:tr>
    </w:tbl>
    <w:p w:rsidR="00000000" w:rsidRPr="00BB496B" w:rsidP="00BB496B">
      <w:pPr>
        <w:pStyle w:val="BodyText"/>
      </w:pPr>
    </w:p>
    <w:p w:rsidR="00000000" w:rsidRPr="00BB496B" w:rsidP="00BB496B">
      <w:pPr>
        <w:pStyle w:val="AllowPageBreak"/>
      </w:pPr>
    </w:p>
    <w:p w:rsidR="00000000" w:rsidRPr="00BB496B" w:rsidP="00BB496B">
      <w:pPr>
        <w:pStyle w:val="Heading1"/>
      </w:pPr>
      <w:bookmarkStart w:id="6" w:name="O_949093"/>
      <w:bookmarkEnd w:id="6"/>
      <w:r w:rsidRPr="00BB496B">
        <w:t>Foundation Skills</w:t>
      </w:r>
    </w:p>
    <w:p w:rsidR="00000000" w:rsidRPr="00BB496B" w:rsidP="00373EAC">
      <w:pPr>
        <w:pStyle w:val="BodyText"/>
      </w:pPr>
      <w:r w:rsidRPr="00BB496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B496B" w:rsidP="00373EAC">
      <w:pPr>
        <w:pStyle w:val="BodyText"/>
      </w:pPr>
      <w:r w:rsidRPr="00BB496B">
        <w:t xml:space="preserve">Foundation skills essential to performance are explicit in the performance criteria </w:t>
      </w:r>
      <w:r w:rsidRPr="00BB496B">
        <w:t>of this unit of competency.</w:t>
      </w:r>
    </w:p>
    <w:p w:rsidR="00000000" w:rsidRPr="00BB496B" w:rsidP="00BB496B">
      <w:pPr>
        <w:pStyle w:val="Heading1"/>
      </w:pPr>
      <w:bookmarkStart w:id="7" w:name="O_949092"/>
      <w:bookmarkEnd w:id="7"/>
      <w:r w:rsidRPr="00BB496B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63"/>
      </w:tblGrid>
      <w:tr w:rsidTr="00BB49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t>This field allows for different work environments and conditions that may affect performance. Essential operating conditions that may be present (depending on the work situation, needs of the</w:t>
            </w:r>
            <w:r w:rsidRPr="00BB496B">
              <w:t xml:space="preserve"> candidate, accessibility of the item, and local industry and regional contexts) are included.</w:t>
            </w:r>
          </w:p>
        </w:tc>
      </w:tr>
      <w:tr w:rsidTr="00BB49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BodyText"/>
            </w:pPr>
            <w:r w:rsidRPr="00BB496B">
              <w:rPr>
                <w:rStyle w:val="SpecialBold"/>
              </w:rPr>
              <w:t>Radiation safe work practices and controls include the following:</w:t>
            </w:r>
          </w:p>
          <w:p w:rsidR="00000000" w:rsidP="00BB496B">
            <w:pPr>
              <w:pStyle w:val="BodyText"/>
              <w:rPr>
                <w:lang w:val="en-NZ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ListBullet"/>
            </w:pPr>
            <w:r w:rsidRPr="00BB496B">
              <w:t>ensuring security of radiation sources during storage, transport and use</w:t>
            </w:r>
          </w:p>
          <w:p w:rsidR="00000000" w:rsidRPr="00BB496B" w:rsidP="00BB496B">
            <w:pPr>
              <w:pStyle w:val="ListBullet"/>
            </w:pPr>
            <w:r w:rsidRPr="00BB496B">
              <w:t>using signs, barriers, shielding to minimise radiation exposure of public</w:t>
            </w:r>
          </w:p>
          <w:p w:rsidR="00000000" w:rsidRPr="00BB496B" w:rsidP="00BB496B">
            <w:pPr>
              <w:pStyle w:val="ListBullet"/>
            </w:pPr>
            <w:r w:rsidRPr="00BB496B">
              <w:t>reducing personal exposure time</w:t>
            </w:r>
          </w:p>
          <w:p w:rsidR="00000000" w:rsidRPr="00BB496B" w:rsidP="00BB496B">
            <w:pPr>
              <w:pStyle w:val="ListBullet"/>
            </w:pPr>
            <w:r w:rsidRPr="00BB496B">
              <w:t>maintaining greatest feasible distance between radiation source and equipment operator</w:t>
            </w:r>
          </w:p>
          <w:p w:rsidR="00000000" w:rsidRPr="00BB496B" w:rsidP="00BB496B">
            <w:pPr>
              <w:pStyle w:val="ListBullet"/>
            </w:pPr>
            <w:r w:rsidRPr="00BB496B">
              <w:t>using maximum feasible shielding between radiation source and e</w:t>
            </w:r>
            <w:r w:rsidRPr="00BB496B">
              <w:t>quipment operator</w:t>
            </w:r>
          </w:p>
          <w:p w:rsidR="00000000" w:rsidRPr="00BB496B" w:rsidP="00BB496B">
            <w:pPr>
              <w:pStyle w:val="ListBullet"/>
            </w:pPr>
            <w:r w:rsidRPr="00BB496B">
              <w:t>using a dosimeter to monitor personal radiation exposure</w:t>
            </w:r>
          </w:p>
          <w:p w:rsidR="00000000" w:rsidRPr="00BB496B" w:rsidP="00BB496B">
            <w:pPr>
              <w:pStyle w:val="ListBullet"/>
            </w:pPr>
            <w:r w:rsidRPr="00BB496B">
              <w:t>maintaining statutory records of the use of radiation sources and/or instruments that emit ionising radiation</w:t>
            </w:r>
          </w:p>
          <w:p w:rsidR="00000000" w:rsidP="00BB496B">
            <w:pPr>
              <w:pStyle w:val="BodyText"/>
              <w:rPr>
                <w:lang w:val="en-NZ"/>
              </w:rPr>
            </w:pPr>
          </w:p>
        </w:tc>
      </w:tr>
      <w:tr w:rsidTr="00BB49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Standards and codes include the following: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ListBullet"/>
            </w:pPr>
            <w:r w:rsidRPr="00BB496B">
              <w:t xml:space="preserve">the latest version of all relevant Australian and international standards and codes applicable to radiographic testing </w:t>
            </w:r>
          </w:p>
          <w:p w:rsidR="00000000" w:rsidRPr="00BB496B" w:rsidP="00BB496B">
            <w:pPr>
              <w:pStyle w:val="ListBullet2"/>
            </w:pPr>
            <w:r w:rsidRPr="00BB496B">
              <w:t>AS 2177 Non-destructive testing—Radiography of welded butt joints in metal</w:t>
            </w:r>
          </w:p>
          <w:p w:rsidR="00000000" w:rsidRPr="00BB496B" w:rsidP="00BB496B">
            <w:pPr>
              <w:pStyle w:val="ListBullet2"/>
            </w:pPr>
            <w:r w:rsidRPr="00BB496B">
              <w:t>AS 3507.1 Non-destructive testing - Guide to radiography for</w:t>
            </w:r>
            <w:r w:rsidRPr="00BB496B">
              <w:t xml:space="preserve"> ferrous castings</w:t>
            </w:r>
          </w:p>
          <w:p w:rsidR="00000000" w:rsidRPr="00BB496B" w:rsidP="00BB496B">
            <w:pPr>
              <w:pStyle w:val="ListBullet2"/>
            </w:pPr>
            <w:r w:rsidRPr="00BB496B">
              <w:t>ISO 9712 Non-destructive testing</w:t>
            </w:r>
            <w:r>
              <w:t>—</w:t>
            </w:r>
            <w:r w:rsidRPr="00BB496B">
              <w:t>Qualification and certification of NDT personnel</w:t>
            </w:r>
          </w:p>
          <w:p w:rsidR="00000000" w:rsidRPr="00BB496B" w:rsidP="00BB496B">
            <w:pPr>
              <w:pStyle w:val="ListBullet"/>
            </w:pPr>
            <w:r w:rsidRPr="00BB496B">
              <w:t>codes of practice from Australian and overseas engineering and technical associations and societies</w:t>
            </w:r>
          </w:p>
          <w:p w:rsidR="00000000" w:rsidP="00BB496B">
            <w:pPr>
              <w:pStyle w:val="BodyText"/>
              <w:rPr>
                <w:lang w:val="en-NZ"/>
              </w:rPr>
            </w:pPr>
          </w:p>
        </w:tc>
      </w:tr>
      <w:tr w:rsidTr="00BB49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6B">
            <w:pPr>
              <w:pStyle w:val="BodyText"/>
              <w:rPr>
                <w:lang w:val="en-NZ"/>
              </w:rPr>
            </w:pPr>
            <w:r w:rsidRPr="00BB496B">
              <w:rPr>
                <w:rStyle w:val="SpecialBold"/>
              </w:rPr>
              <w:t>WHS, regulatory requirements and workplace procedures include:</w:t>
            </w:r>
          </w:p>
        </w:tc>
        <w:tc>
          <w:tcPr>
            <w:tcW w:w="6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6B" w:rsidP="00BB496B">
            <w:pPr>
              <w:pStyle w:val="ListBullet"/>
            </w:pPr>
            <w:r w:rsidRPr="00BB496B">
              <w:t>WHS Acts and regulations</w:t>
            </w:r>
          </w:p>
          <w:p w:rsidR="00000000" w:rsidRPr="00BB496B" w:rsidP="00BB496B">
            <w:pPr>
              <w:pStyle w:val="ListBullet"/>
            </w:pPr>
            <w:r w:rsidRPr="00BB496B">
              <w:t>industry codes of practice</w:t>
            </w:r>
          </w:p>
          <w:p w:rsidR="00000000" w:rsidRPr="00BB496B" w:rsidP="00BB496B">
            <w:pPr>
              <w:pStyle w:val="ListBullet"/>
            </w:pPr>
            <w:r w:rsidRPr="00BB496B">
              <w:t>risk assessments</w:t>
            </w:r>
          </w:p>
          <w:p w:rsidR="00000000" w:rsidRPr="00BB496B" w:rsidP="00BB496B">
            <w:pPr>
              <w:pStyle w:val="ListBullet"/>
            </w:pPr>
            <w:r w:rsidRPr="00BB496B">
              <w:t>safe work practices</w:t>
            </w:r>
          </w:p>
          <w:p w:rsidR="00000000" w:rsidRPr="00BB496B" w:rsidP="00BB496B">
            <w:pPr>
              <w:pStyle w:val="ListBullet"/>
            </w:pPr>
            <w:r w:rsidRPr="00BB496B">
              <w:t>workplace documents, such as:</w:t>
            </w:r>
          </w:p>
          <w:p w:rsidR="00000000" w:rsidRPr="00BB496B" w:rsidP="00BB496B">
            <w:pPr>
              <w:pStyle w:val="ListBullet2"/>
            </w:pPr>
            <w:r w:rsidRPr="00BB496B">
              <w:t>SOPs</w:t>
            </w:r>
          </w:p>
          <w:p w:rsidR="00000000" w:rsidRPr="00BB496B" w:rsidP="00BB496B">
            <w:pPr>
              <w:pStyle w:val="ListBullet2"/>
            </w:pPr>
            <w:r w:rsidRPr="00BB496B">
              <w:t>quality procedures</w:t>
            </w:r>
          </w:p>
          <w:p w:rsidR="00000000" w:rsidRPr="00BB496B" w:rsidP="00BB496B">
            <w:pPr>
              <w:pStyle w:val="ListBullet2"/>
            </w:pPr>
            <w:r w:rsidRPr="00BB496B">
              <w:t>equipment manuals</w:t>
            </w:r>
          </w:p>
          <w:p w:rsidR="00000000" w:rsidRPr="00BB496B" w:rsidP="00BB496B">
            <w:pPr>
              <w:pStyle w:val="ListBullet2"/>
            </w:pPr>
            <w:r w:rsidRPr="00BB496B">
              <w:t>calibration and maintenance schedules</w:t>
            </w:r>
          </w:p>
          <w:p w:rsidR="00000000" w:rsidRPr="00BB496B" w:rsidP="00BB496B">
            <w:pPr>
              <w:pStyle w:val="ListBullet2"/>
            </w:pPr>
            <w:r w:rsidRPr="00BB496B">
              <w:t>safety data sheets (SDS)</w:t>
            </w:r>
          </w:p>
          <w:p w:rsidR="00000000" w:rsidRPr="00BB496B" w:rsidP="00BB496B">
            <w:pPr>
              <w:pStyle w:val="ListBullet2"/>
            </w:pPr>
            <w:r w:rsidRPr="00BB496B">
              <w:t>safety procedures</w:t>
            </w:r>
          </w:p>
          <w:p w:rsidR="00000000" w:rsidRPr="00BB496B" w:rsidP="00BB496B">
            <w:pPr>
              <w:pStyle w:val="ListBullet2"/>
            </w:pPr>
            <w:r w:rsidRPr="00BB496B">
              <w:t>work schedules</w:t>
            </w:r>
          </w:p>
          <w:p w:rsidR="00000000" w:rsidRPr="00BB496B" w:rsidP="00BB496B">
            <w:pPr>
              <w:pStyle w:val="ListBullet2"/>
            </w:pPr>
            <w:r w:rsidRPr="00BB496B">
              <w:t>workplace recording and reporting procedures</w:t>
            </w:r>
          </w:p>
          <w:p w:rsidR="00000000" w:rsidRPr="00BB496B" w:rsidP="00BB496B">
            <w:pPr>
              <w:pStyle w:val="ListBullet2"/>
            </w:pPr>
            <w:r w:rsidRPr="00BB496B">
              <w:t>waste minimisation</w:t>
            </w:r>
          </w:p>
          <w:p w:rsidR="00000000" w:rsidRPr="00BB496B" w:rsidP="00BB496B">
            <w:pPr>
              <w:pStyle w:val="ListBullet2"/>
            </w:pPr>
            <w:r w:rsidRPr="00BB496B">
              <w:t xml:space="preserve">containment, processing and safe disposal procedures </w:t>
            </w:r>
          </w:p>
          <w:p w:rsidR="00000000" w:rsidRPr="00BB496B" w:rsidP="00BB496B">
            <w:pPr>
              <w:pStyle w:val="ListBullet"/>
            </w:pPr>
            <w:r w:rsidRPr="00BB496B">
              <w:t>codes, regulations and safe work practice</w:t>
            </w:r>
            <w:r w:rsidRPr="00BB496B">
              <w:t>s covering the use, handling, storage and transport of:</w:t>
            </w:r>
          </w:p>
          <w:p w:rsidR="00000000" w:rsidRPr="00BB496B" w:rsidP="00BB496B">
            <w:pPr>
              <w:pStyle w:val="ListBullet2"/>
            </w:pPr>
            <w:r w:rsidRPr="00BB496B">
              <w:t>radiation sources</w:t>
            </w:r>
          </w:p>
          <w:p w:rsidR="00000000" w:rsidRPr="00BB496B" w:rsidP="00BB496B">
            <w:pPr>
              <w:pStyle w:val="ListBullet2"/>
            </w:pPr>
            <w:r w:rsidRPr="00BB496B">
              <w:t>instruments that emit ionising radiation</w:t>
            </w:r>
          </w:p>
          <w:p w:rsidR="00000000" w:rsidRPr="00BB496B" w:rsidP="00BB496B">
            <w:pPr>
              <w:pStyle w:val="ListBullet2"/>
            </w:pPr>
            <w:r w:rsidRPr="00BB496B">
              <w:t>dangerous materials such as chemicals, solvents, acids, or noxious waste products</w:t>
            </w:r>
          </w:p>
        </w:tc>
      </w:tr>
    </w:tbl>
    <w:p w:rsidR="00000000" w:rsidRPr="00BB496B" w:rsidP="00BB496B">
      <w:pPr>
        <w:pStyle w:val="BodyText"/>
      </w:pPr>
    </w:p>
    <w:p w:rsidR="00000000" w:rsidRPr="00BB496B" w:rsidP="00BB496B">
      <w:pPr>
        <w:pStyle w:val="AllowPageBreak"/>
      </w:pPr>
    </w:p>
    <w:p w:rsidR="00000000" w:rsidRPr="00BB496B" w:rsidP="00BB496B">
      <w:pPr>
        <w:pStyle w:val="Heading1"/>
      </w:pPr>
      <w:bookmarkStart w:id="8" w:name="O_949091"/>
      <w:bookmarkEnd w:id="8"/>
      <w:r w:rsidRPr="00BB496B">
        <w:t>Unit Mapping Information</w:t>
      </w:r>
    </w:p>
    <w:p w:rsidR="00000000" w:rsidRPr="00BB496B" w:rsidP="00373EAC">
      <w:pPr>
        <w:pStyle w:val="BodyText"/>
      </w:pPr>
      <w:r w:rsidRPr="00BB496B">
        <w:t xml:space="preserve">Release 1. Supersedes and is equivalent to MEM13013B Work safely with ionizing radiation </w:t>
      </w:r>
    </w:p>
    <w:p w:rsidR="00000000" w:rsidRPr="00BB496B" w:rsidP="00BB496B">
      <w:pPr>
        <w:pStyle w:val="Heading1"/>
      </w:pPr>
      <w:bookmarkStart w:id="9" w:name="O_949084"/>
      <w:bookmarkEnd w:id="9"/>
      <w:r w:rsidRPr="00BB496B">
        <w:t>Links</w:t>
      </w:r>
    </w:p>
    <w:p w:rsidR="00000000" w:rsidRPr="00BB496B" w:rsidP="00373EAC">
      <w:pPr>
        <w:pStyle w:val="BodyText"/>
      </w:pPr>
      <w:r w:rsidRPr="00BB49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A1E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B496B" w:rsidP="00BB496B"/>
    <w:sectPr w:rsidSect="00BB49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6B" w:rsidRPr="00373EAC" w:rsidP="00373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AC" w:rsidP="00BB4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EAC" w:rsidP="00BB4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3EAC" w:rsidP="00BB4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96B" w:rsidRPr="00373EAC" w:rsidP="00373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AC" w:rsidRPr="002D2AF8" w:rsidP="00BB4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MEM13013 Work safely with ionizing radiation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73EAC" w:rsidP="00BB4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2D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C43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27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96B"/>
  </w:style>
  <w:style w:type="character" w:customStyle="1" w:styleId="Heading1Char">
    <w:name w:val="Heading 1 Char"/>
    <w:basedOn w:val="DefaultParagraphFont"/>
    <w:link w:val="Heading1"/>
    <w:rsid w:val="00BB4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9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9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96B"/>
    <w:rPr>
      <w:b/>
      <w:spacing w:val="0"/>
    </w:rPr>
  </w:style>
  <w:style w:type="paragraph" w:styleId="ListBullet2">
    <w:name w:val="List Bullet 2"/>
    <w:basedOn w:val="List2"/>
    <w:rsid w:val="00BB49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4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9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9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496B"/>
    <w:rPr>
      <w:i/>
    </w:rPr>
  </w:style>
  <w:style w:type="paragraph" w:styleId="Caption">
    <w:name w:val="caption"/>
    <w:basedOn w:val="BodyText"/>
    <w:next w:val="Normal"/>
    <w:qFormat/>
    <w:rsid w:val="00BB4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96B"/>
  </w:style>
  <w:style w:type="paragraph" w:styleId="TableofFigures">
    <w:name w:val="table of figures"/>
    <w:basedOn w:val="Normal"/>
    <w:next w:val="Normal"/>
    <w:semiHidden/>
    <w:rsid w:val="00BB4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9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96B"/>
    <w:rPr>
      <w:rFonts w:ascii="Wingdings" w:hAnsi="Wingdings"/>
    </w:rPr>
  </w:style>
  <w:style w:type="paragraph" w:customStyle="1" w:styleId="TableHeading">
    <w:name w:val="Table Heading"/>
    <w:basedOn w:val="HeadingBase"/>
    <w:rsid w:val="00BB4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96B"/>
    <w:rPr>
      <w:color w:val="0033CC"/>
      <w:u w:val="none"/>
    </w:rPr>
  </w:style>
  <w:style w:type="paragraph" w:customStyle="1" w:styleId="BodyTextRight">
    <w:name w:val="Body Text Right"/>
    <w:basedOn w:val="BodyText"/>
    <w:rsid w:val="00BB4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9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96B"/>
    <w:rPr>
      <w:sz w:val="32"/>
    </w:rPr>
  </w:style>
  <w:style w:type="paragraph" w:customStyle="1" w:styleId="HeadingProcedure">
    <w:name w:val="Heading Procedure"/>
    <w:basedOn w:val="HeadingBase"/>
    <w:next w:val="Normal"/>
    <w:rsid w:val="00BB4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96B"/>
    <w:pPr>
      <w:spacing w:before="60" w:after="60"/>
    </w:pPr>
  </w:style>
  <w:style w:type="paragraph" w:styleId="ListContinue">
    <w:name w:val="List Continue"/>
    <w:basedOn w:val="List"/>
    <w:rsid w:val="00BB496B"/>
    <w:pPr>
      <w:ind w:firstLine="0"/>
    </w:pPr>
  </w:style>
  <w:style w:type="paragraph" w:customStyle="1" w:styleId="ListNote">
    <w:name w:val="List Note"/>
    <w:basedOn w:val="List"/>
    <w:rsid w:val="00BB4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96B"/>
    <w:rPr>
      <w:rFonts w:ascii="Courier New" w:hAnsi="Courier New"/>
    </w:rPr>
  </w:style>
  <w:style w:type="paragraph" w:customStyle="1" w:styleId="NoteBullet">
    <w:name w:val="Note Bullet"/>
    <w:basedOn w:val="Note"/>
    <w:rsid w:val="00BB4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9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96B"/>
    <w:rPr>
      <w:b/>
      <w:smallCaps/>
    </w:rPr>
  </w:style>
  <w:style w:type="paragraph" w:customStyle="1" w:styleId="TableListNumber">
    <w:name w:val="Table List Number"/>
    <w:basedOn w:val="ListNumber"/>
    <w:rsid w:val="00BB4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96B"/>
    <w:pPr>
      <w:numPr>
        <w:numId w:val="9"/>
      </w:numPr>
    </w:pPr>
  </w:style>
  <w:style w:type="paragraph" w:customStyle="1" w:styleId="ListAlpha2">
    <w:name w:val="List Alpha 2"/>
    <w:basedOn w:val="List2"/>
    <w:rsid w:val="00BB496B"/>
    <w:pPr>
      <w:numPr>
        <w:numId w:val="8"/>
      </w:numPr>
    </w:pPr>
  </w:style>
  <w:style w:type="paragraph" w:styleId="List2">
    <w:name w:val="List 2"/>
    <w:basedOn w:val="BodyText"/>
    <w:rsid w:val="00BB4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9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9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96B"/>
    <w:pPr>
      <w:numPr>
        <w:numId w:val="4"/>
      </w:numPr>
    </w:pPr>
  </w:style>
  <w:style w:type="paragraph" w:styleId="ListContinue2">
    <w:name w:val="List Continue 2"/>
    <w:basedOn w:val="List2"/>
    <w:rsid w:val="00BB496B"/>
    <w:pPr>
      <w:ind w:firstLine="0"/>
    </w:pPr>
  </w:style>
  <w:style w:type="paragraph" w:styleId="ListContinue3">
    <w:name w:val="List Continue 3"/>
    <w:basedOn w:val="List3"/>
    <w:rsid w:val="00BB496B"/>
    <w:pPr>
      <w:ind w:left="1021" w:firstLine="0"/>
    </w:pPr>
  </w:style>
  <w:style w:type="paragraph" w:styleId="ListContinue4">
    <w:name w:val="List Continue 4"/>
    <w:basedOn w:val="List4"/>
    <w:rsid w:val="00BB496B"/>
    <w:pPr>
      <w:ind w:firstLine="0"/>
    </w:pPr>
  </w:style>
  <w:style w:type="paragraph" w:styleId="ListContinue5">
    <w:name w:val="List Continue 5"/>
    <w:basedOn w:val="List5"/>
    <w:rsid w:val="00BB496B"/>
    <w:pPr>
      <w:ind w:firstLine="0"/>
    </w:pPr>
  </w:style>
  <w:style w:type="paragraph" w:styleId="ListNumber3">
    <w:name w:val="List Number 3"/>
    <w:basedOn w:val="List3"/>
    <w:rsid w:val="00BB496B"/>
    <w:pPr>
      <w:numPr>
        <w:numId w:val="5"/>
      </w:numPr>
    </w:pPr>
  </w:style>
  <w:style w:type="paragraph" w:styleId="ListNumber4">
    <w:name w:val="List Number 4"/>
    <w:basedOn w:val="List4"/>
    <w:rsid w:val="00BB496B"/>
    <w:pPr>
      <w:numPr>
        <w:numId w:val="6"/>
      </w:numPr>
    </w:pPr>
  </w:style>
  <w:style w:type="paragraph" w:styleId="ListNumber5">
    <w:name w:val="List Number 5"/>
    <w:basedOn w:val="List5"/>
    <w:rsid w:val="00BB496B"/>
    <w:pPr>
      <w:numPr>
        <w:numId w:val="7"/>
      </w:numPr>
    </w:pPr>
  </w:style>
  <w:style w:type="paragraph" w:styleId="BlockText">
    <w:name w:val="Block Text"/>
    <w:basedOn w:val="Normal"/>
    <w:rsid w:val="00BB4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96B"/>
    <w:rPr>
      <w:sz w:val="16"/>
      <w:vertAlign w:val="superscript"/>
    </w:rPr>
  </w:style>
  <w:style w:type="character" w:customStyle="1" w:styleId="Symbols">
    <w:name w:val="Symbols"/>
    <w:basedOn w:val="DefaultParagraphFont"/>
    <w:rsid w:val="00BB496B"/>
    <w:rPr>
      <w:rFonts w:ascii="Symbol" w:hAnsi="Symbol"/>
    </w:rPr>
  </w:style>
  <w:style w:type="character" w:customStyle="1" w:styleId="MenuOptions">
    <w:name w:val="Menu Options"/>
    <w:basedOn w:val="DefaultParagraphFont"/>
    <w:rsid w:val="00BB4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96B"/>
    <w:rPr>
      <w:b/>
    </w:rPr>
  </w:style>
  <w:style w:type="character" w:customStyle="1" w:styleId="Underlined">
    <w:name w:val="Underlined"/>
    <w:basedOn w:val="DefaultParagraphFont"/>
    <w:rsid w:val="00BB496B"/>
    <w:rPr>
      <w:u w:val="single"/>
    </w:rPr>
  </w:style>
  <w:style w:type="paragraph" w:customStyle="1" w:styleId="TableBodyTextRight">
    <w:name w:val="Table Body Text Right"/>
    <w:basedOn w:val="TableBodyText"/>
    <w:rsid w:val="00BB4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96B"/>
    <w:rPr>
      <w:sz w:val="18"/>
    </w:rPr>
  </w:style>
  <w:style w:type="paragraph" w:customStyle="1" w:styleId="BodySmallRight">
    <w:name w:val="Body Small Right"/>
    <w:basedOn w:val="BodyTextRight"/>
    <w:rsid w:val="00BB496B"/>
    <w:rPr>
      <w:sz w:val="18"/>
      <w:szCs w:val="18"/>
    </w:rPr>
  </w:style>
  <w:style w:type="paragraph" w:customStyle="1" w:styleId="MarginEdition">
    <w:name w:val="Margin Edition"/>
    <w:basedOn w:val="MarginNote"/>
    <w:rsid w:val="00BB4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96B"/>
    <w:rPr>
      <w:sz w:val="2"/>
      <w:szCs w:val="2"/>
    </w:rPr>
  </w:style>
  <w:style w:type="character" w:customStyle="1" w:styleId="Small">
    <w:name w:val="Small"/>
    <w:basedOn w:val="DefaultParagraphFont"/>
    <w:rsid w:val="00BB496B"/>
    <w:rPr>
      <w:sz w:val="16"/>
    </w:rPr>
  </w:style>
  <w:style w:type="paragraph" w:customStyle="1" w:styleId="WideTable">
    <w:name w:val="Wide Table"/>
    <w:basedOn w:val="Normal"/>
    <w:rsid w:val="00BB4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96B"/>
  </w:style>
  <w:style w:type="paragraph" w:styleId="Quote">
    <w:name w:val="Quote"/>
    <w:basedOn w:val="Heading1"/>
    <w:link w:val="QuoteChar"/>
    <w:qFormat/>
    <w:rsid w:val="00BB4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96B"/>
    <w:pPr>
      <w:pageBreakBefore/>
    </w:pPr>
  </w:style>
  <w:style w:type="paragraph" w:customStyle="1" w:styleId="Border">
    <w:name w:val="Border"/>
    <w:basedOn w:val="Normal"/>
    <w:qFormat/>
    <w:rsid w:val="00BB4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96B"/>
    <w:rPr>
      <w:u w:val="single"/>
    </w:rPr>
  </w:style>
  <w:style w:type="character" w:customStyle="1" w:styleId="BoldandItalics">
    <w:name w:val="Bold and Italics"/>
    <w:qFormat/>
    <w:rsid w:val="00BB496B"/>
    <w:rPr>
      <w:b/>
      <w:i/>
      <w:u w:val="none"/>
    </w:rPr>
  </w:style>
  <w:style w:type="paragraph" w:styleId="BalloonText">
    <w:name w:val="Balloon Text"/>
    <w:basedOn w:val="Normal"/>
    <w:link w:val="BalloonTextChar"/>
    <w:rsid w:val="00BB4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96B"/>
    <w:pPr>
      <w:spacing w:before="0" w:after="0"/>
    </w:pPr>
  </w:style>
  <w:style w:type="paragraph" w:customStyle="1" w:styleId="BodyTextBold">
    <w:name w:val="Body Text Bold"/>
    <w:basedOn w:val="BodyText"/>
    <w:qFormat/>
    <w:rsid w:val="00BB496B"/>
    <w:rPr>
      <w:b/>
    </w:rPr>
  </w:style>
  <w:style w:type="character" w:styleId="Hyperlink">
    <w:name w:val="Hyperlink"/>
    <w:basedOn w:val="DefaultParagraphFont"/>
    <w:uiPriority w:val="99"/>
    <w:unhideWhenUsed/>
    <w:rsid w:val="00373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5801</Characters>
  <Application>Microsoft Office Word</Application>
  <DocSecurity>0</DocSecurity>
  <Lines>241</Lines>
  <Paragraphs>131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MEM13013 Work safely with ionizing radiation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