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1827" w:rsidP="00B618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MEM13013 Work safely with ionizing radiation</w:t>
      </w:r>
      <w:r>
        <w:fldChar w:fldCharType="end"/>
      </w:r>
    </w:p>
    <w:p w:rsidR="00B61827" w:rsidP="00B61827">
      <w:pPr>
        <w:pStyle w:val="Version"/>
        <w:sectPr w:rsidSect="000B6A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6A82" w:rsidP="000B6A82">
      <w:pPr>
        <w:pStyle w:val="SuperHeading"/>
      </w:pPr>
      <w:r w:rsidRPr="000B6A82">
        <w:t>Assessment Requirements for MEM13013 Work safely with ionizing radiation</w:t>
      </w:r>
    </w:p>
    <w:p w:rsidR="00000000" w:rsidRPr="000B6A82" w:rsidP="000B6A82">
      <w:pPr>
        <w:pStyle w:val="Heading1"/>
      </w:pPr>
      <w:bookmarkStart w:id="1" w:name="O_949086"/>
      <w:bookmarkEnd w:id="1"/>
      <w:r w:rsidRPr="000B6A82">
        <w:t>Modification History</w:t>
      </w:r>
    </w:p>
    <w:p w:rsidR="00000000" w:rsidRPr="000B6A82" w:rsidP="00B61827">
      <w:pPr>
        <w:pStyle w:val="BodyText"/>
      </w:pPr>
      <w:r w:rsidRPr="000B6A82">
        <w:t xml:space="preserve">Release 1. Supersedes and is equivalent to MEM13013B Work safely with ionizing radiation </w:t>
      </w:r>
    </w:p>
    <w:p w:rsidR="00000000" w:rsidRPr="000B6A82" w:rsidP="000B6A82">
      <w:pPr>
        <w:pStyle w:val="Heading1"/>
      </w:pPr>
      <w:bookmarkStart w:id="2" w:name="O_949089"/>
      <w:bookmarkEnd w:id="2"/>
      <w:r w:rsidRPr="000B6A82">
        <w:t>Performance Evidence</w:t>
      </w:r>
    </w:p>
    <w:p w:rsidR="00000000" w:rsidRPr="000B6A82" w:rsidP="00B61827">
      <w:pPr>
        <w:pStyle w:val="BodyText"/>
      </w:pPr>
      <w:r w:rsidRPr="000B6A82">
        <w:t>Evidence required to demonstrate competence in this unit must be relevant to and satisfy the requirements of the elements and performance criteria on at least two (2) occasions and include:</w:t>
      </w:r>
    </w:p>
    <w:p w:rsidR="00000000" w:rsidRPr="000B6A82" w:rsidP="000B6A82">
      <w:pPr>
        <w:pStyle w:val="ListBullet"/>
      </w:pPr>
      <w:r w:rsidRPr="000B6A82">
        <w:t>following work instructions, standard operating procedures (SOPs)</w:t>
      </w:r>
      <w:r w:rsidRPr="000B6A82">
        <w:t xml:space="preserve"> and safe work practices </w:t>
      </w:r>
    </w:p>
    <w:p w:rsidR="00000000" w:rsidRPr="000B6A82" w:rsidP="000B6A82">
      <w:pPr>
        <w:pStyle w:val="ListBullet"/>
      </w:pPr>
      <w:r w:rsidRPr="000B6A82">
        <w:t>identifying and interpreting charts, specifications, relevant organisational policy and procedures and other applicable reference documents in working safely with ionizing radiation</w:t>
      </w:r>
    </w:p>
    <w:p w:rsidR="00000000" w:rsidRPr="000B6A82" w:rsidP="000B6A82">
      <w:pPr>
        <w:pStyle w:val="ListBullet"/>
      </w:pPr>
      <w:r w:rsidRPr="000B6A82">
        <w:t>employing appropriate ionizing radiation protect</w:t>
      </w:r>
      <w:r w:rsidRPr="000B6A82">
        <w:t xml:space="preserve">ive measures and personal protective equipment (PPE) relevant to the industrial application </w:t>
      </w:r>
    </w:p>
    <w:p w:rsidR="00000000" w:rsidRPr="000B6A82" w:rsidP="000B6A82">
      <w:pPr>
        <w:pStyle w:val="ListBullet"/>
      </w:pPr>
      <w:r w:rsidRPr="000B6A82">
        <w:t xml:space="preserve">determining minimum exposure rates/distances from calculations and charts </w:t>
      </w:r>
    </w:p>
    <w:p w:rsidR="00000000" w:rsidRPr="000B6A82" w:rsidP="000B6A82">
      <w:pPr>
        <w:pStyle w:val="ListBullet"/>
      </w:pPr>
      <w:r w:rsidRPr="000B6A82">
        <w:t>undertaking numerical operations and calculations associated with determining minimum ex</w:t>
      </w:r>
      <w:r w:rsidRPr="000B6A82">
        <w:t>posure rates/distances</w:t>
      </w:r>
    </w:p>
    <w:p w:rsidR="00000000" w:rsidRPr="000B6A82" w:rsidP="000B6A82">
      <w:pPr>
        <w:pStyle w:val="ListBullet"/>
      </w:pPr>
      <w:r w:rsidRPr="000B6A82">
        <w:t xml:space="preserve">selecting and using appropriate tools and equipment necessary to monitor radiation </w:t>
      </w:r>
    </w:p>
    <w:p w:rsidR="00000000" w:rsidRPr="000B6A82" w:rsidP="000B6A82">
      <w:pPr>
        <w:pStyle w:val="ListBullet"/>
      </w:pPr>
      <w:r w:rsidRPr="000B6A82">
        <w:t>documenting all safety breaches and recording/reporting in accordance with SOPs</w:t>
      </w:r>
    </w:p>
    <w:p w:rsidR="00000000" w:rsidRPr="000B6A82" w:rsidP="000B6A82">
      <w:pPr>
        <w:pStyle w:val="ListBullet"/>
      </w:pPr>
      <w:r w:rsidRPr="000B6A82">
        <w:t>demonstrating the ability to assess risks and handle emergencies.</w:t>
      </w:r>
    </w:p>
    <w:p w:rsidR="00000000" w:rsidRPr="000B6A82" w:rsidP="000B6A82">
      <w:pPr>
        <w:pStyle w:val="AllowPageBreak"/>
      </w:pPr>
    </w:p>
    <w:p w:rsidR="00000000" w:rsidRPr="000B6A82" w:rsidP="000B6A82">
      <w:pPr>
        <w:pStyle w:val="Heading1"/>
      </w:pPr>
      <w:bookmarkStart w:id="3" w:name="O_949088"/>
      <w:bookmarkEnd w:id="3"/>
      <w:r w:rsidRPr="000B6A82">
        <w:t>Knowledge Evidence</w:t>
      </w:r>
    </w:p>
    <w:p w:rsidR="00000000" w:rsidRPr="000B6A82" w:rsidP="00B61827">
      <w:pPr>
        <w:pStyle w:val="BodyText"/>
      </w:pPr>
      <w:r w:rsidRPr="000B6A82">
        <w:t>Evidence required to demonstrate the required knowledge for this unit must be relevant to and satisfy the requirements of the elements and performance criteria and include knowledge of:</w:t>
      </w:r>
    </w:p>
    <w:p w:rsidR="00000000" w:rsidRPr="000B6A82" w:rsidP="000B6A82">
      <w:pPr>
        <w:pStyle w:val="ListBullet"/>
      </w:pPr>
      <w:r w:rsidRPr="000B6A82">
        <w:t>safe work practices and procedures a</w:t>
      </w:r>
      <w:r w:rsidRPr="000B6A82">
        <w:t>nd use of PPE</w:t>
      </w:r>
    </w:p>
    <w:p w:rsidR="00000000" w:rsidRPr="000B6A82" w:rsidP="000B6A82">
      <w:pPr>
        <w:pStyle w:val="ListBullet"/>
      </w:pPr>
      <w:r w:rsidRPr="000B6A82">
        <w:t>International System of Units (SI) of radiation in accordance with the National Health and Medical Research Council (NHMRC)/statutory requirements</w:t>
      </w:r>
    </w:p>
    <w:p w:rsidR="00000000" w:rsidRPr="000B6A82" w:rsidP="000B6A82">
      <w:pPr>
        <w:pStyle w:val="ListBullet"/>
      </w:pPr>
      <w:r w:rsidRPr="000B6A82">
        <w:t xml:space="preserve">production of X-rays and gamma rays in relation to radiographic testing activities </w:t>
      </w:r>
    </w:p>
    <w:p w:rsidR="00000000" w:rsidRPr="000B6A82" w:rsidP="000B6A82">
      <w:pPr>
        <w:pStyle w:val="ListBullet"/>
      </w:pPr>
      <w:r w:rsidRPr="000B6A82">
        <w:t>principal r</w:t>
      </w:r>
      <w:r w:rsidRPr="000B6A82">
        <w:t xml:space="preserve">adioactive sources used in industrial radiography </w:t>
      </w:r>
    </w:p>
    <w:p w:rsidR="00000000" w:rsidRPr="000B6A82" w:rsidP="000B6A82">
      <w:pPr>
        <w:pStyle w:val="ListBullet"/>
      </w:pPr>
      <w:r w:rsidRPr="000B6A82">
        <w:t xml:space="preserve">attenuation factors </w:t>
      </w:r>
    </w:p>
    <w:p w:rsidR="00000000" w:rsidRPr="000B6A82" w:rsidP="000B6A82">
      <w:pPr>
        <w:pStyle w:val="ListBullet"/>
      </w:pPr>
      <w:r w:rsidRPr="000B6A82">
        <w:t xml:space="preserve">known biological effects of radiation </w:t>
      </w:r>
    </w:p>
    <w:p w:rsidR="00000000" w:rsidRPr="000B6A82" w:rsidP="000B6A82">
      <w:pPr>
        <w:pStyle w:val="ListBullet"/>
      </w:pPr>
      <w:r w:rsidRPr="000B6A82">
        <w:t>general principles of gas ionisation, photographic effect and luminescence</w:t>
      </w:r>
    </w:p>
    <w:p w:rsidR="00000000" w:rsidRPr="000B6A82" w:rsidP="000B6A82">
      <w:pPr>
        <w:pStyle w:val="ListBullet"/>
      </w:pPr>
      <w:r w:rsidRPr="000B6A82">
        <w:t>use of film, film badges, ionisation chamber devices, quartz</w:t>
      </w:r>
      <w:r w:rsidRPr="000B6A82">
        <w:t xml:space="preserve"> fibre, fluorescent, and electronic devices accuracy limits (energy/range)</w:t>
      </w:r>
    </w:p>
    <w:p w:rsidR="00000000" w:rsidRPr="000B6A82" w:rsidP="000B6A82">
      <w:pPr>
        <w:pStyle w:val="ListBullet"/>
      </w:pPr>
      <w:r w:rsidRPr="000B6A82">
        <w:t>different SI units of radiation, including Becquerel, Sievert and Gray</w:t>
      </w:r>
    </w:p>
    <w:p w:rsidR="00000000" w:rsidRPr="000B6A82" w:rsidP="000B6A82">
      <w:pPr>
        <w:pStyle w:val="ListBullet"/>
      </w:pPr>
      <w:r w:rsidRPr="000B6A82">
        <w:t xml:space="preserve">exposure limits for personnel as laid down by the radiation authorities in Australia </w:t>
      </w:r>
    </w:p>
    <w:p w:rsidR="00000000" w:rsidRPr="000B6A82" w:rsidP="000B6A82">
      <w:pPr>
        <w:pStyle w:val="ListBullet"/>
      </w:pPr>
      <w:r w:rsidRPr="000B6A82">
        <w:t>exposure reduction facto</w:t>
      </w:r>
      <w:r w:rsidRPr="000B6A82">
        <w:t xml:space="preserve">rs, including: </w:t>
      </w:r>
    </w:p>
    <w:p w:rsidR="00000000" w:rsidRPr="000B6A82" w:rsidP="000B6A82">
      <w:pPr>
        <w:pStyle w:val="ListBullet2"/>
      </w:pPr>
      <w:r w:rsidRPr="000B6A82">
        <w:t>time</w:t>
      </w:r>
    </w:p>
    <w:p w:rsidR="00000000" w:rsidRPr="000B6A82" w:rsidP="000B6A82">
      <w:pPr>
        <w:pStyle w:val="ListBullet2"/>
      </w:pPr>
      <w:r w:rsidRPr="000B6A82">
        <w:t xml:space="preserve">distance </w:t>
      </w:r>
    </w:p>
    <w:p w:rsidR="00000000" w:rsidRPr="000B6A82" w:rsidP="000B6A82">
      <w:pPr>
        <w:pStyle w:val="ListBullet2"/>
      </w:pPr>
      <w:r w:rsidRPr="000B6A82">
        <w:t xml:space="preserve">shielding  </w:t>
      </w:r>
    </w:p>
    <w:p w:rsidR="00000000" w:rsidRPr="000B6A82" w:rsidP="000B6A82">
      <w:pPr>
        <w:pStyle w:val="ListBullet"/>
      </w:pPr>
      <w:r w:rsidRPr="000B6A82">
        <w:t xml:space="preserve">procedures for establishing safe working barriers </w:t>
      </w:r>
    </w:p>
    <w:p w:rsidR="00000000" w:rsidRPr="000B6A82" w:rsidP="000B6A82">
      <w:pPr>
        <w:pStyle w:val="ListBullet"/>
      </w:pPr>
      <w:r w:rsidRPr="000B6A82">
        <w:t xml:space="preserve">relevant techniques and checks </w:t>
      </w:r>
    </w:p>
    <w:p w:rsidR="00000000" w:rsidRPr="000B6A82" w:rsidP="000B6A82">
      <w:pPr>
        <w:pStyle w:val="ListBullet"/>
      </w:pPr>
      <w:r w:rsidRPr="000B6A82">
        <w:t xml:space="preserve">emergency procedures </w:t>
      </w:r>
    </w:p>
    <w:p w:rsidR="00000000" w:rsidRPr="000B6A82" w:rsidP="000B6A82">
      <w:pPr>
        <w:pStyle w:val="ListBullet"/>
      </w:pPr>
      <w:r w:rsidRPr="000B6A82">
        <w:t xml:space="preserve">safety procedures for: </w:t>
      </w:r>
    </w:p>
    <w:p w:rsidR="00000000" w:rsidRPr="000B6A82" w:rsidP="000B6A82">
      <w:pPr>
        <w:pStyle w:val="ListBullet2"/>
      </w:pPr>
      <w:r w:rsidRPr="000B6A82">
        <w:t>types of X-ray equipment</w:t>
      </w:r>
    </w:p>
    <w:p w:rsidR="00000000" w:rsidRPr="000B6A82" w:rsidP="000B6A82">
      <w:pPr>
        <w:pStyle w:val="ListBullet2"/>
      </w:pPr>
      <w:r w:rsidRPr="000B6A82">
        <w:t>types of isotope cameras</w:t>
      </w:r>
    </w:p>
    <w:p w:rsidR="00000000" w:rsidRPr="000B6A82" w:rsidP="000B6A82">
      <w:pPr>
        <w:pStyle w:val="ListBullet2"/>
      </w:pPr>
      <w:r w:rsidRPr="000B6A82">
        <w:t>shielding materials</w:t>
      </w:r>
    </w:p>
    <w:p w:rsidR="00000000" w:rsidRPr="000B6A82" w:rsidP="000B6A82">
      <w:pPr>
        <w:pStyle w:val="ListBullet2"/>
      </w:pPr>
      <w:r w:rsidRPr="000B6A82">
        <w:t>design and requirements for exposure areas</w:t>
      </w:r>
    </w:p>
    <w:p w:rsidR="00000000" w:rsidRPr="000B6A82" w:rsidP="000B6A82">
      <w:pPr>
        <w:pStyle w:val="ListBullet2"/>
      </w:pPr>
      <w:r w:rsidRPr="000B6A82">
        <w:t>requirements for storage of radioisotopes</w:t>
      </w:r>
    </w:p>
    <w:p w:rsidR="00000000" w:rsidRPr="000B6A82" w:rsidP="000B6A82">
      <w:pPr>
        <w:pStyle w:val="ListBullet"/>
      </w:pPr>
      <w:r w:rsidRPr="000B6A82">
        <w:t xml:space="preserve">emergency situations, causes and appropriate responses </w:t>
      </w:r>
    </w:p>
    <w:p w:rsidR="00000000" w:rsidRPr="000B6A82" w:rsidP="000B6A82">
      <w:pPr>
        <w:pStyle w:val="ListBullet"/>
      </w:pPr>
      <w:r w:rsidRPr="000B6A82">
        <w:t>storage requirements of equipment and materials</w:t>
      </w:r>
    </w:p>
    <w:p w:rsidR="00000000" w:rsidRPr="000B6A82" w:rsidP="000B6A82">
      <w:pPr>
        <w:pStyle w:val="ListBullet"/>
      </w:pPr>
      <w:r w:rsidRPr="000B6A82">
        <w:t>legal requirements including:</w:t>
      </w:r>
    </w:p>
    <w:p w:rsidR="00000000" w:rsidRPr="000B6A82" w:rsidP="000B6A82">
      <w:pPr>
        <w:pStyle w:val="ListBullet2"/>
      </w:pPr>
      <w:r w:rsidRPr="000B6A82">
        <w:t>Australian, state/territory regulat</w:t>
      </w:r>
      <w:r w:rsidRPr="000B6A82">
        <w:t>ions, code of practice (detail)</w:t>
      </w:r>
    </w:p>
    <w:p w:rsidR="00000000" w:rsidRPr="000B6A82" w:rsidP="000B6A82">
      <w:pPr>
        <w:pStyle w:val="ListBullet2"/>
      </w:pPr>
      <w:r w:rsidRPr="000B6A82">
        <w:t>International Commission on Radiological Protection (ICRP) recommended limits for various persons and various parts of the body for short-term, long-term and accumulated exposure</w:t>
      </w:r>
    </w:p>
    <w:p w:rsidR="00000000" w:rsidRPr="000B6A82" w:rsidP="000B6A82">
      <w:pPr>
        <w:pStyle w:val="ListBullet2"/>
      </w:pPr>
      <w:r w:rsidRPr="000B6A82">
        <w:t>background radiation</w:t>
      </w:r>
    </w:p>
    <w:p w:rsidR="00000000" w:rsidRPr="000B6A82" w:rsidP="000B6A82">
      <w:pPr>
        <w:pStyle w:val="ListBullet2"/>
      </w:pPr>
      <w:r w:rsidRPr="000B6A82">
        <w:t>duties of Radiation Safe</w:t>
      </w:r>
      <w:r w:rsidRPr="000B6A82">
        <w:t>ty Officer (RSO)</w:t>
      </w:r>
    </w:p>
    <w:p w:rsidR="00000000" w:rsidRPr="000B6A82" w:rsidP="000B6A82">
      <w:pPr>
        <w:pStyle w:val="ListBullet2"/>
      </w:pPr>
      <w:r w:rsidRPr="000B6A82">
        <w:t>requirements for transport</w:t>
      </w:r>
    </w:p>
    <w:p w:rsidR="00000000" w:rsidRPr="000B6A82" w:rsidP="000B6A82">
      <w:pPr>
        <w:pStyle w:val="ListBullet2"/>
      </w:pPr>
      <w:r w:rsidRPr="000B6A82">
        <w:t>International Air Transport Association (IATA) regulations</w:t>
      </w:r>
    </w:p>
    <w:p w:rsidR="00000000" w:rsidRPr="000B6A82" w:rsidP="000B6A82">
      <w:pPr>
        <w:pStyle w:val="ListBullet2"/>
      </w:pPr>
      <w:r w:rsidRPr="000B6A82">
        <w:t>obligations of the licensee.</w:t>
      </w:r>
    </w:p>
    <w:p w:rsidR="00000000" w:rsidRPr="000B6A82" w:rsidP="000B6A82">
      <w:pPr>
        <w:pStyle w:val="AllowPageBreak"/>
      </w:pPr>
    </w:p>
    <w:p w:rsidR="00000000" w:rsidRPr="000B6A82" w:rsidP="000B6A82">
      <w:pPr>
        <w:pStyle w:val="Heading1"/>
      </w:pPr>
      <w:bookmarkStart w:id="4" w:name="O_949087"/>
      <w:bookmarkEnd w:id="4"/>
      <w:r w:rsidRPr="000B6A82">
        <w:t>Assessment Conditions</w:t>
      </w:r>
    </w:p>
    <w:p w:rsidR="00000000" w:rsidRPr="000B6A82" w:rsidP="000B6A82">
      <w:pPr>
        <w:pStyle w:val="ListBullet"/>
      </w:pPr>
      <w:r w:rsidRPr="000B6A82">
        <w:t>Assessors must:</w:t>
      </w:r>
    </w:p>
    <w:p w:rsidR="00000000" w:rsidRPr="000B6A82" w:rsidP="000B6A82">
      <w:pPr>
        <w:pStyle w:val="ListBullet2"/>
      </w:pPr>
      <w:r w:rsidRPr="000B6A82">
        <w:t>have vocational competency in working safely with ionizing radiation at least to the level being assessed with relevant industry knowledge and experience</w:t>
      </w:r>
    </w:p>
    <w:p w:rsidR="00000000" w:rsidRPr="000B6A82" w:rsidP="000B6A82">
      <w:pPr>
        <w:pStyle w:val="ListBullet2"/>
      </w:pPr>
      <w:r w:rsidRPr="000B6A82">
        <w:t xml:space="preserve">satisfy the assessor requirements in the </w:t>
      </w:r>
      <w:r w:rsidRPr="000B6A82">
        <w:rPr>
          <w:rStyle w:val="Emphasis"/>
        </w:rPr>
        <w:t xml:space="preserve">Standards for Registered Training Organisations 2015 </w:t>
      </w:r>
      <w:r w:rsidRPr="000B6A82">
        <w:t>or its r</w:t>
      </w:r>
      <w:r w:rsidRPr="000B6A82">
        <w:t>eplacement</w:t>
      </w:r>
      <w:r w:rsidRPr="000B6A82">
        <w:rPr>
          <w:rStyle w:val="Emphasis"/>
        </w:rPr>
        <w:t xml:space="preserve"> </w:t>
      </w:r>
      <w:r w:rsidRPr="000B6A82">
        <w:t xml:space="preserve">and comply with the </w:t>
      </w:r>
      <w:r w:rsidRPr="000B6A82">
        <w:rPr>
          <w:rStyle w:val="Emphasis"/>
        </w:rPr>
        <w:t xml:space="preserve">National Vocational Education and Training Regulator Act 2011, </w:t>
      </w:r>
      <w:r w:rsidRPr="000B6A82">
        <w:t>its replacement</w:t>
      </w:r>
      <w:r w:rsidRPr="000B6A82">
        <w:rPr>
          <w:rStyle w:val="Emphasis"/>
        </w:rPr>
        <w:t xml:space="preserve"> </w:t>
      </w:r>
      <w:r w:rsidRPr="000B6A82">
        <w:t>or equivalent legislation covering VET regulation in a non-referring state/territory as the case requires</w:t>
      </w:r>
    </w:p>
    <w:p w:rsidR="00000000" w:rsidRPr="000B6A82" w:rsidP="000B6A82">
      <w:pPr>
        <w:pStyle w:val="ListBullet"/>
      </w:pPr>
      <w:r w:rsidRPr="000B6A82">
        <w:t>Where possible assessment must occur in</w:t>
      </w:r>
      <w:r w:rsidRPr="000B6A82">
        <w:t xml:space="preserve"> operational workplace situations. Where this is not possible or where personal safety or environmental damage are limiting factors, assessment must occur in a sufficiently rigorous simulated environment that reflects realistic operational workplace condit</w:t>
      </w:r>
      <w:r w:rsidRPr="000B6A82">
        <w:t>ions. This must cover all aspects of workplace performance, including environment, task skills, task management skills, contingency management skills and job role environment skills</w:t>
      </w:r>
    </w:p>
    <w:p w:rsidR="00000000" w:rsidRPr="000B6A82" w:rsidP="000B6A82">
      <w:pPr>
        <w:pStyle w:val="ListBullet"/>
      </w:pPr>
      <w:r w:rsidRPr="000B6A82">
        <w:t>Conditions for assessment must include access to all tools, equipment, mat</w:t>
      </w:r>
      <w:r w:rsidRPr="000B6A82">
        <w:t>erials and documentation required, including relevant workplace procedures, product and manufacturing specifications</w:t>
      </w:r>
    </w:p>
    <w:p w:rsidR="00000000" w:rsidRPr="000B6A82" w:rsidP="000B6A82">
      <w:pPr>
        <w:pStyle w:val="ListBullet"/>
      </w:pPr>
      <w:r w:rsidRPr="000B6A82">
        <w:t>Assessment processes and techniques must be appropriate to the language, literacy and numeracy requirements of the work being performed and</w:t>
      </w:r>
      <w:r w:rsidRPr="000B6A82">
        <w:t xml:space="preserve"> the needs of the candidate.</w:t>
      </w:r>
    </w:p>
    <w:p w:rsidR="00000000" w:rsidRPr="000B6A82" w:rsidP="000B6A82">
      <w:pPr>
        <w:pStyle w:val="AllowPageBreak"/>
      </w:pPr>
    </w:p>
    <w:p w:rsidR="00000000" w:rsidRPr="000B6A82" w:rsidP="000B6A82">
      <w:pPr>
        <w:pStyle w:val="Heading1"/>
      </w:pPr>
      <w:bookmarkStart w:id="5" w:name="O_949085"/>
      <w:bookmarkEnd w:id="5"/>
      <w:r w:rsidRPr="000B6A82">
        <w:t>Links</w:t>
      </w:r>
    </w:p>
    <w:p w:rsidR="00000000" w:rsidRPr="000B6A82" w:rsidP="00B61827">
      <w:pPr>
        <w:pStyle w:val="BodyText"/>
      </w:pPr>
      <w:r w:rsidRPr="000B6A8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2A4F97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B6A82" w:rsidP="000B6A82"/>
    <w:sectPr w:rsidSect="000B6A8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A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A82" w:rsidRPr="00B61827" w:rsidP="00B618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A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827" w:rsidP="000B6A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61827" w:rsidP="000B6A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61827" w:rsidP="000B6A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A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8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6A82" w:rsidRPr="00B61827" w:rsidP="00B618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A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827" w:rsidRPr="002D2AF8" w:rsidP="000B6A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MEM13013 Work safely with ionizing radiation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B61827" w:rsidP="000B6A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5ECD5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690D6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12049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6A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6A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6A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6A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6A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6A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6A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6A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6A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6A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6A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6A82"/>
  </w:style>
  <w:style w:type="character" w:customStyle="1" w:styleId="Heading1Char">
    <w:name w:val="Heading 1 Char"/>
    <w:basedOn w:val="DefaultParagraphFont"/>
    <w:link w:val="Heading1"/>
    <w:rsid w:val="000B6A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6A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6A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6A8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B6A8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B6A82"/>
    <w:rPr>
      <w:i/>
    </w:rPr>
  </w:style>
  <w:style w:type="paragraph" w:customStyle="1" w:styleId="SuperHeading">
    <w:name w:val="SuperHeading"/>
    <w:basedOn w:val="Normal"/>
    <w:rsid w:val="000B6A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6A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6A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6A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6A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6A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6A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6A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6A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6A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6A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6A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6A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6A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6A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6A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6A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6A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6A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6A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6A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6A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B6A82"/>
    <w:rPr>
      <w:b/>
      <w:spacing w:val="0"/>
    </w:rPr>
  </w:style>
  <w:style w:type="paragraph" w:customStyle="1" w:styleId="SuperTitle">
    <w:name w:val="SuperTitle"/>
    <w:basedOn w:val="Title"/>
    <w:rsid w:val="000B6A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6A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6A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B6A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6A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6A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6A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6A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6A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6A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6A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6A8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B6A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6A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6A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6A82"/>
  </w:style>
  <w:style w:type="paragraph" w:styleId="TableofFigures">
    <w:name w:val="table of figures"/>
    <w:basedOn w:val="Normal"/>
    <w:next w:val="Normal"/>
    <w:semiHidden/>
    <w:rsid w:val="000B6A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6A8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B6A82"/>
    <w:rPr>
      <w:rFonts w:ascii="Wingdings" w:hAnsi="Wingdings"/>
    </w:rPr>
  </w:style>
  <w:style w:type="paragraph" w:customStyle="1" w:styleId="TableHeading">
    <w:name w:val="Table Heading"/>
    <w:basedOn w:val="HeadingBase"/>
    <w:rsid w:val="000B6A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6A82"/>
    <w:rPr>
      <w:color w:val="0033CC"/>
      <w:u w:val="none"/>
    </w:rPr>
  </w:style>
  <w:style w:type="paragraph" w:customStyle="1" w:styleId="BodyTextRight">
    <w:name w:val="Body Text Right"/>
    <w:basedOn w:val="BodyText"/>
    <w:rsid w:val="000B6A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6A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6A8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6A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6A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6A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6A82"/>
    <w:rPr>
      <w:sz w:val="32"/>
    </w:rPr>
  </w:style>
  <w:style w:type="paragraph" w:customStyle="1" w:styleId="HeadingProcedure">
    <w:name w:val="Heading Procedure"/>
    <w:basedOn w:val="HeadingBase"/>
    <w:next w:val="Normal"/>
    <w:rsid w:val="000B6A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6A82"/>
    <w:pPr>
      <w:spacing w:before="60" w:after="60"/>
    </w:pPr>
  </w:style>
  <w:style w:type="paragraph" w:styleId="ListContinue">
    <w:name w:val="List Continue"/>
    <w:basedOn w:val="List"/>
    <w:rsid w:val="000B6A82"/>
    <w:pPr>
      <w:ind w:firstLine="0"/>
    </w:pPr>
  </w:style>
  <w:style w:type="paragraph" w:customStyle="1" w:styleId="ListNote">
    <w:name w:val="List Note"/>
    <w:basedOn w:val="List"/>
    <w:rsid w:val="000B6A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6A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6A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6A82"/>
    <w:rPr>
      <w:rFonts w:ascii="Courier New" w:hAnsi="Courier New"/>
    </w:rPr>
  </w:style>
  <w:style w:type="paragraph" w:customStyle="1" w:styleId="NoteBullet">
    <w:name w:val="Note Bullet"/>
    <w:basedOn w:val="Note"/>
    <w:rsid w:val="000B6A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6A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6A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6A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6A8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B6A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6A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6A82"/>
    <w:rPr>
      <w:b/>
      <w:smallCaps/>
    </w:rPr>
  </w:style>
  <w:style w:type="paragraph" w:customStyle="1" w:styleId="TableListNumber">
    <w:name w:val="Table List Number"/>
    <w:basedOn w:val="ListNumber"/>
    <w:rsid w:val="000B6A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6A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6A82"/>
    <w:pPr>
      <w:numPr>
        <w:numId w:val="9"/>
      </w:numPr>
    </w:pPr>
  </w:style>
  <w:style w:type="paragraph" w:customStyle="1" w:styleId="ListAlpha2">
    <w:name w:val="List Alpha 2"/>
    <w:basedOn w:val="List2"/>
    <w:rsid w:val="000B6A82"/>
    <w:pPr>
      <w:numPr>
        <w:numId w:val="8"/>
      </w:numPr>
    </w:pPr>
  </w:style>
  <w:style w:type="paragraph" w:styleId="List2">
    <w:name w:val="List 2"/>
    <w:basedOn w:val="BodyText"/>
    <w:rsid w:val="000B6A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6A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6A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6A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6A8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6A8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B6A82"/>
    <w:pPr>
      <w:numPr>
        <w:numId w:val="4"/>
      </w:numPr>
    </w:pPr>
  </w:style>
  <w:style w:type="paragraph" w:styleId="ListContinue2">
    <w:name w:val="List Continue 2"/>
    <w:basedOn w:val="List2"/>
    <w:rsid w:val="000B6A82"/>
    <w:pPr>
      <w:ind w:firstLine="0"/>
    </w:pPr>
  </w:style>
  <w:style w:type="paragraph" w:styleId="ListContinue3">
    <w:name w:val="List Continue 3"/>
    <w:basedOn w:val="List3"/>
    <w:rsid w:val="000B6A82"/>
    <w:pPr>
      <w:ind w:left="1021" w:firstLine="0"/>
    </w:pPr>
  </w:style>
  <w:style w:type="paragraph" w:styleId="ListContinue4">
    <w:name w:val="List Continue 4"/>
    <w:basedOn w:val="List4"/>
    <w:rsid w:val="000B6A82"/>
    <w:pPr>
      <w:ind w:firstLine="0"/>
    </w:pPr>
  </w:style>
  <w:style w:type="paragraph" w:styleId="ListContinue5">
    <w:name w:val="List Continue 5"/>
    <w:basedOn w:val="List5"/>
    <w:rsid w:val="000B6A82"/>
    <w:pPr>
      <w:ind w:firstLine="0"/>
    </w:pPr>
  </w:style>
  <w:style w:type="paragraph" w:styleId="ListNumber3">
    <w:name w:val="List Number 3"/>
    <w:basedOn w:val="List3"/>
    <w:rsid w:val="000B6A82"/>
    <w:pPr>
      <w:numPr>
        <w:numId w:val="5"/>
      </w:numPr>
    </w:pPr>
  </w:style>
  <w:style w:type="paragraph" w:styleId="ListNumber4">
    <w:name w:val="List Number 4"/>
    <w:basedOn w:val="List4"/>
    <w:rsid w:val="000B6A82"/>
    <w:pPr>
      <w:numPr>
        <w:numId w:val="6"/>
      </w:numPr>
    </w:pPr>
  </w:style>
  <w:style w:type="paragraph" w:styleId="ListNumber5">
    <w:name w:val="List Number 5"/>
    <w:basedOn w:val="List5"/>
    <w:rsid w:val="000B6A82"/>
    <w:pPr>
      <w:numPr>
        <w:numId w:val="7"/>
      </w:numPr>
    </w:pPr>
  </w:style>
  <w:style w:type="paragraph" w:styleId="BlockText">
    <w:name w:val="Block Text"/>
    <w:basedOn w:val="Normal"/>
    <w:rsid w:val="000B6A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6A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6A82"/>
    <w:rPr>
      <w:sz w:val="16"/>
      <w:vertAlign w:val="superscript"/>
    </w:rPr>
  </w:style>
  <w:style w:type="character" w:customStyle="1" w:styleId="Symbols">
    <w:name w:val="Symbols"/>
    <w:basedOn w:val="DefaultParagraphFont"/>
    <w:rsid w:val="000B6A82"/>
    <w:rPr>
      <w:rFonts w:ascii="Symbol" w:hAnsi="Symbol"/>
    </w:rPr>
  </w:style>
  <w:style w:type="character" w:customStyle="1" w:styleId="MenuOptions">
    <w:name w:val="Menu Options"/>
    <w:basedOn w:val="DefaultParagraphFont"/>
    <w:rsid w:val="000B6A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6A82"/>
    <w:rPr>
      <w:b/>
    </w:rPr>
  </w:style>
  <w:style w:type="character" w:customStyle="1" w:styleId="Underlined">
    <w:name w:val="Underlined"/>
    <w:basedOn w:val="DefaultParagraphFont"/>
    <w:rsid w:val="000B6A82"/>
    <w:rPr>
      <w:u w:val="single"/>
    </w:rPr>
  </w:style>
  <w:style w:type="paragraph" w:customStyle="1" w:styleId="TableBodyTextRight">
    <w:name w:val="Table Body Text Right"/>
    <w:basedOn w:val="TableBodyText"/>
    <w:rsid w:val="000B6A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6A82"/>
    <w:rPr>
      <w:sz w:val="18"/>
    </w:rPr>
  </w:style>
  <w:style w:type="paragraph" w:customStyle="1" w:styleId="BodySmallRight">
    <w:name w:val="Body Small Right"/>
    <w:basedOn w:val="BodyTextRight"/>
    <w:rsid w:val="000B6A82"/>
    <w:rPr>
      <w:sz w:val="18"/>
      <w:szCs w:val="18"/>
    </w:rPr>
  </w:style>
  <w:style w:type="paragraph" w:customStyle="1" w:styleId="MarginEdition">
    <w:name w:val="Margin Edition"/>
    <w:basedOn w:val="MarginNote"/>
    <w:rsid w:val="000B6A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6A82"/>
    <w:rPr>
      <w:sz w:val="2"/>
      <w:szCs w:val="2"/>
    </w:rPr>
  </w:style>
  <w:style w:type="character" w:customStyle="1" w:styleId="Small">
    <w:name w:val="Small"/>
    <w:basedOn w:val="DefaultParagraphFont"/>
    <w:rsid w:val="000B6A82"/>
    <w:rPr>
      <w:sz w:val="16"/>
    </w:rPr>
  </w:style>
  <w:style w:type="paragraph" w:customStyle="1" w:styleId="WideTable">
    <w:name w:val="Wide Table"/>
    <w:basedOn w:val="Normal"/>
    <w:rsid w:val="000B6A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6A82"/>
  </w:style>
  <w:style w:type="paragraph" w:styleId="Quote">
    <w:name w:val="Quote"/>
    <w:basedOn w:val="Heading1"/>
    <w:link w:val="QuoteChar"/>
    <w:qFormat/>
    <w:rsid w:val="000B6A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6A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6A82"/>
    <w:pPr>
      <w:pageBreakBefore/>
    </w:pPr>
  </w:style>
  <w:style w:type="paragraph" w:customStyle="1" w:styleId="Border">
    <w:name w:val="Border"/>
    <w:basedOn w:val="Normal"/>
    <w:qFormat/>
    <w:rsid w:val="000B6A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6A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6A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6A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6A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6A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6A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6A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6A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6A82"/>
    <w:rPr>
      <w:u w:val="single"/>
    </w:rPr>
  </w:style>
  <w:style w:type="character" w:customStyle="1" w:styleId="BoldandItalics">
    <w:name w:val="Bold and Italics"/>
    <w:qFormat/>
    <w:rsid w:val="000B6A82"/>
    <w:rPr>
      <w:b/>
      <w:i/>
      <w:u w:val="none"/>
    </w:rPr>
  </w:style>
  <w:style w:type="paragraph" w:styleId="BalloonText">
    <w:name w:val="Balloon Text"/>
    <w:basedOn w:val="Normal"/>
    <w:link w:val="BalloonTextChar"/>
    <w:rsid w:val="000B6A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6A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6A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6A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6A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6A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6A82"/>
    <w:pPr>
      <w:spacing w:before="0" w:after="0"/>
    </w:pPr>
  </w:style>
  <w:style w:type="paragraph" w:customStyle="1" w:styleId="BodyTextBold">
    <w:name w:val="Body Text Bold"/>
    <w:basedOn w:val="BodyText"/>
    <w:qFormat/>
    <w:rsid w:val="000B6A82"/>
    <w:rPr>
      <w:b/>
    </w:rPr>
  </w:style>
  <w:style w:type="character" w:styleId="Hyperlink">
    <w:name w:val="Hyperlink"/>
    <w:basedOn w:val="DefaultParagraphFont"/>
    <w:uiPriority w:val="99"/>
    <w:unhideWhenUsed/>
    <w:rsid w:val="00B618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614</Words>
  <Characters>4250</Characters>
  <Application>Microsoft Office Word</Application>
  <DocSecurity>0</DocSecurity>
  <Lines>94</Lines>
  <Paragraphs>69</Paragraphs>
  <ScaleCrop>false</ScaleCrop>
  <Company>Author-it Software Corporation Ltd.</Company>
  <LinksUpToDate>false</LinksUpToDate>
  <CharactersWithSpaces>4795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MEM13013 Work safely with ionizing radiation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2022-11-22T01:12:00Z</dcterms:created>
  <dcterms:modified xsi:type="dcterms:W3CDTF">2022-11-22T01:12:00Z</dcterms:modified>
</cp:coreProperties>
</file>