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A30" w:rsidP="001D1A30">
      <w:pPr>
        <w:pStyle w:val="Title"/>
      </w:pPr>
      <w:r>
        <w:fldChar w:fldCharType="begin"/>
      </w:r>
      <w:r>
        <w:instrText xml:space="preserve"> TITLE   \* MERGEFORMAT </w:instrText>
      </w:r>
      <w:r>
        <w:fldChar w:fldCharType="separate"/>
      </w:r>
      <w:r>
        <w:t>MEM13006 Collect and evaluate work health and safety data for an enterprise or section of an enterprise</w:t>
      </w:r>
      <w:r>
        <w:fldChar w:fldCharType="end"/>
      </w:r>
    </w:p>
    <w:p w:rsidR="001D1A30" w:rsidP="001D1A30">
      <w:pPr>
        <w:pStyle w:val="Version"/>
        <w:sectPr w:rsidSect="009621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1EC" w:rsidP="009621EC">
      <w:pPr>
        <w:pStyle w:val="SuperHeading"/>
      </w:pPr>
      <w:r w:rsidRPr="009621EC">
        <w:t>MEM13006 Collect and evaluate work health and safety data for an enterprise or section of an enterprise</w:t>
      </w:r>
    </w:p>
    <w:p w:rsidR="00000000" w:rsidRPr="009621EC" w:rsidP="009621EC">
      <w:pPr>
        <w:pStyle w:val="Heading1"/>
      </w:pPr>
      <w:bookmarkStart w:id="1" w:name="O_949033"/>
      <w:bookmarkEnd w:id="1"/>
      <w:r w:rsidRPr="009621EC">
        <w:t>Modification History</w:t>
      </w:r>
    </w:p>
    <w:p w:rsidR="00000000" w:rsidRPr="009621EC" w:rsidP="001D1A30">
      <w:pPr>
        <w:pStyle w:val="BodyText"/>
      </w:pPr>
      <w:r w:rsidRPr="009621EC">
        <w:t xml:space="preserve">Release 1. Supersedes and is equivalent to MEM13006B Collect and evaluate occupational health and safety data for an enterprise or section of an enterprise </w:t>
      </w:r>
    </w:p>
    <w:p w:rsidR="00000000" w:rsidRPr="009621EC" w:rsidP="009621EC">
      <w:pPr>
        <w:pStyle w:val="Heading1"/>
      </w:pPr>
      <w:bookmarkStart w:id="2" w:name="O_949041"/>
      <w:bookmarkEnd w:id="2"/>
      <w:r w:rsidRPr="009621EC">
        <w:t>Application</w:t>
      </w:r>
    </w:p>
    <w:p w:rsidR="00000000" w:rsidRPr="009621EC" w:rsidP="001D1A30">
      <w:pPr>
        <w:pStyle w:val="BodyText"/>
      </w:pPr>
      <w:r w:rsidRPr="009621EC">
        <w:t>This unit of competency defines the skills and knowledge required to c</w:t>
      </w:r>
      <w:r w:rsidRPr="009621EC">
        <w:t>arry out standard work health and safety (WHS) measurements, collect and evaluate data, maintain records and report hazards. Data collected would typically relate to factors associated with temperature, noise (noise meter) and dust (Draeger tubes).</w:t>
      </w:r>
    </w:p>
    <w:p w:rsidR="00000000" w:rsidRPr="009621EC" w:rsidP="001D1A30">
      <w:pPr>
        <w:pStyle w:val="BodyText"/>
      </w:pPr>
      <w:r w:rsidRPr="009621EC">
        <w:t xml:space="preserve">Where </w:t>
      </w:r>
      <w:r w:rsidRPr="009621EC">
        <w:t>the selection and use of engineering measurement is required unit MEM12023 Perform engineering measurements should also be selected.</w:t>
      </w:r>
    </w:p>
    <w:p w:rsidR="00000000" w:rsidRPr="009621EC" w:rsidP="001D1A30">
      <w:pPr>
        <w:pStyle w:val="BodyText"/>
      </w:pPr>
      <w:r w:rsidRPr="009621EC">
        <w:t>No licensing, legislative or certification requirements apply to this unit at the time of publication.</w:t>
      </w:r>
    </w:p>
    <w:p w:rsidR="00000000" w:rsidRPr="009621EC" w:rsidP="009621EC">
      <w:pPr>
        <w:pStyle w:val="BodyText"/>
      </w:pPr>
      <w:r w:rsidRPr="009621EC">
        <w:rPr>
          <w:rStyle w:val="SpecialBold"/>
        </w:rPr>
        <w:t>Band</w:t>
      </w:r>
      <w:r w:rsidRPr="009621EC">
        <w:t>:</w:t>
      </w:r>
      <w:r w:rsidRPr="009621EC">
        <w:tab/>
      </w:r>
      <w:r w:rsidRPr="009621EC">
        <w:rPr>
          <w:rStyle w:val="SpecialBold"/>
        </w:rPr>
        <w:t>A</w:t>
      </w:r>
    </w:p>
    <w:p w:rsidR="00000000" w:rsidRPr="009621EC" w:rsidP="009621EC">
      <w:pPr>
        <w:pStyle w:val="BodyText"/>
      </w:pPr>
      <w:r w:rsidRPr="009621EC">
        <w:rPr>
          <w:rStyle w:val="SpecialBold"/>
        </w:rPr>
        <w:t>Unit Weigh</w:t>
      </w:r>
      <w:r w:rsidRPr="009621EC">
        <w:rPr>
          <w:rStyle w:val="SpecialBold"/>
        </w:rPr>
        <w:t>t</w:t>
      </w:r>
      <w:r w:rsidRPr="009621EC">
        <w:t>:</w:t>
      </w:r>
      <w:r w:rsidRPr="009621EC">
        <w:tab/>
      </w:r>
      <w:r w:rsidRPr="009621EC">
        <w:rPr>
          <w:rStyle w:val="SpecialBold"/>
        </w:rPr>
        <w:t>4</w:t>
      </w:r>
    </w:p>
    <w:p w:rsidR="00000000" w:rsidRPr="009621EC" w:rsidP="009621EC">
      <w:pPr>
        <w:pStyle w:val="AllowPageBreak"/>
      </w:pPr>
    </w:p>
    <w:p w:rsidR="00000000" w:rsidRPr="009621EC" w:rsidP="009621EC">
      <w:pPr>
        <w:pStyle w:val="Heading1"/>
      </w:pPr>
      <w:bookmarkStart w:id="3" w:name="O_949040"/>
      <w:bookmarkEnd w:id="3"/>
      <w:r w:rsidRPr="009621EC">
        <w:t>Pre-requisite Unit</w:t>
      </w:r>
    </w:p>
    <w:tbl>
      <w:tblPr>
        <w:tblW w:w="0" w:type="auto"/>
        <w:tblLayout w:type="fixed"/>
        <w:tblCellMar>
          <w:left w:w="62" w:type="dxa"/>
          <w:right w:w="62" w:type="dxa"/>
        </w:tblCellMar>
        <w:tblLook w:val="0000"/>
      </w:tblPr>
      <w:tblGrid>
        <w:gridCol w:w="2137"/>
        <w:gridCol w:w="6618"/>
      </w:tblGrid>
      <w:tr w:rsidTr="009621E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MEM11011</w:t>
            </w:r>
          </w:p>
        </w:tc>
        <w:tc>
          <w:tcPr>
            <w:tcW w:w="661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Undertake manual handling</w:t>
            </w:r>
          </w:p>
        </w:tc>
      </w:tr>
      <w:tr w:rsidTr="009621E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MEM13015</w:t>
            </w:r>
          </w:p>
        </w:tc>
        <w:tc>
          <w:tcPr>
            <w:tcW w:w="661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Work safely and effectively in manufacturing and engineering</w:t>
            </w:r>
          </w:p>
        </w:tc>
      </w:tr>
      <w:tr w:rsidTr="009621EC">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MEM16006</w:t>
            </w:r>
          </w:p>
        </w:tc>
        <w:tc>
          <w:tcPr>
            <w:tcW w:w="6618" w:type="dxa"/>
            <w:tcBorders>
              <w:top w:val="nil"/>
              <w:left w:val="nil"/>
              <w:bottom w:val="nil"/>
              <w:right w:val="nil"/>
            </w:tcBorders>
            <w:tcMar>
              <w:top w:w="0" w:type="dxa"/>
              <w:left w:w="62" w:type="dxa"/>
              <w:bottom w:w="0" w:type="dxa"/>
              <w:right w:w="62" w:type="dxa"/>
            </w:tcMar>
          </w:tcPr>
          <w:p w:rsidR="00000000" w:rsidRPr="009621EC" w:rsidP="009621EC">
            <w:pPr>
              <w:pStyle w:val="BodyText"/>
            </w:pPr>
            <w:r w:rsidRPr="009621EC">
              <w:t>Organise and communicate information</w:t>
            </w:r>
          </w:p>
        </w:tc>
      </w:tr>
    </w:tbl>
    <w:p w:rsidR="00000000" w:rsidRPr="009621EC" w:rsidP="009621EC">
      <w:pPr>
        <w:pStyle w:val="BodyText"/>
      </w:pPr>
    </w:p>
    <w:p w:rsidR="00000000" w:rsidRPr="009621EC" w:rsidP="009621EC">
      <w:pPr>
        <w:pStyle w:val="AllowPageBreak"/>
      </w:pPr>
    </w:p>
    <w:p w:rsidR="00000000" w:rsidRPr="009621EC" w:rsidP="009621EC">
      <w:pPr>
        <w:pStyle w:val="Heading1"/>
      </w:pPr>
      <w:bookmarkStart w:id="4" w:name="O_949039"/>
      <w:bookmarkEnd w:id="4"/>
      <w:r w:rsidRPr="009621EC">
        <w:t>Competency Field</w:t>
      </w:r>
    </w:p>
    <w:p w:rsidR="00000000" w:rsidRPr="009621EC" w:rsidP="001D1A30">
      <w:pPr>
        <w:pStyle w:val="BodyText"/>
      </w:pPr>
      <w:r w:rsidRPr="009621EC">
        <w:t>Work health and safety</w:t>
      </w:r>
    </w:p>
    <w:p w:rsidR="00000000" w:rsidRPr="009621EC" w:rsidP="009621EC">
      <w:pPr>
        <w:pStyle w:val="Heading1"/>
      </w:pPr>
      <w:bookmarkStart w:id="5" w:name="O_949037"/>
      <w:bookmarkEnd w:id="5"/>
      <w:r w:rsidRPr="009621E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621E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Performance criteria describe the performance needed to demonstrate achievement of the element.</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621EC" w:rsidP="009621EC">
            <w:pPr>
              <w:pStyle w:val="BodyText"/>
            </w:pPr>
            <w:r w:rsidRPr="009621EC">
              <w:t>1</w:t>
            </w:r>
          </w:p>
        </w:tc>
        <w:tc>
          <w:tcPr>
            <w:tcW w:w="1986" w:type="dxa"/>
            <w:vMerge w:val="restart"/>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1.1</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Follow standard operating procedures (SOPs)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1.2</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Comply with work health and safety (WHS) requirements at all times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1.3</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Use appropriate personal protective equipment (PPE) in accordance with SOPs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1.4</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Identify job requirements from specifications, job sheets or work instructions</w:t>
            </w:r>
          </w:p>
        </w:tc>
      </w:tr>
      <w:tr w:rsidTr="009621E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621EC">
            <w:pPr>
              <w:pStyle w:val="BodyText"/>
              <w:rPr>
                <w:lang w:val="en-NZ"/>
              </w:rPr>
            </w:pP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621EC" w:rsidP="009621EC">
            <w:pPr>
              <w:pStyle w:val="BodyText"/>
            </w:pPr>
            <w:r w:rsidRPr="009621EC">
              <w:t>2</w:t>
            </w:r>
          </w:p>
        </w:tc>
        <w:tc>
          <w:tcPr>
            <w:tcW w:w="1986" w:type="dxa"/>
            <w:vMerge w:val="restart"/>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rPr>
                <w:rStyle w:val="SpecialBold"/>
              </w:rPr>
              <w:t>Carry out standard WHS measurement and evaluate data</w:t>
            </w: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2.1</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Collect data using standard equipment in accordance with manufacturers</w:t>
            </w:r>
            <w:r>
              <w:t>’</w:t>
            </w:r>
            <w:r w:rsidRPr="009621EC">
              <w:t xml:space="preserve"> specifications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2.2</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Evaluate data from measurements taken to identify non-conformance with WHS standards</w:t>
            </w:r>
          </w:p>
        </w:tc>
      </w:tr>
      <w:tr w:rsidTr="009621E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621EC">
            <w:pPr>
              <w:pStyle w:val="BodyText"/>
              <w:rPr>
                <w:lang w:val="en-NZ"/>
              </w:rPr>
            </w:pP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621EC" w:rsidP="009621EC">
            <w:pPr>
              <w:pStyle w:val="BodyText"/>
            </w:pPr>
            <w:r w:rsidRPr="009621EC">
              <w:t>3</w:t>
            </w:r>
          </w:p>
        </w:tc>
        <w:tc>
          <w:tcPr>
            <w:tcW w:w="1986" w:type="dxa"/>
            <w:vMerge w:val="restart"/>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rPr>
                <w:rStyle w:val="SpecialBold"/>
              </w:rPr>
              <w:t>Report outcomes of data evaluation</w:t>
            </w: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3.1</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Report results requiring remedial action to appropriate personnel using SOPs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3.2</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Prepare reports to detail data findings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3.3</w:t>
            </w:r>
          </w:p>
        </w:tc>
        <w:tc>
          <w:tcPr>
            <w:tcW w:w="5678"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Report and record non-compliances and non-conformances</w:t>
            </w:r>
          </w:p>
        </w:tc>
      </w:tr>
      <w:tr w:rsidTr="009621E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3.4</w:t>
            </w:r>
          </w:p>
        </w:tc>
        <w:tc>
          <w:tcPr>
            <w:tcW w:w="5678" w:type="dxa"/>
            <w:tcBorders>
              <w:top w:val="nil"/>
              <w:left w:val="nil"/>
              <w:bottom w:val="nil"/>
              <w:right w:val="nil"/>
            </w:tcBorders>
            <w:tcMar>
              <w:top w:w="0" w:type="dxa"/>
              <w:left w:w="62" w:type="dxa"/>
              <w:bottom w:w="0" w:type="dxa"/>
              <w:right w:w="62" w:type="dxa"/>
            </w:tcMar>
          </w:tcPr>
          <w:p w:rsidR="00000000" w:rsidRPr="009621EC" w:rsidP="009621EC">
            <w:pPr>
              <w:pStyle w:val="BodyText"/>
            </w:pPr>
            <w:r w:rsidRPr="009621EC">
              <w:t>Maintain records in accordance with SOPs</w:t>
            </w:r>
          </w:p>
        </w:tc>
      </w:tr>
    </w:tbl>
    <w:p w:rsidR="00000000" w:rsidRPr="009621EC" w:rsidP="009621EC">
      <w:pPr>
        <w:pStyle w:val="BodyText"/>
      </w:pPr>
    </w:p>
    <w:p w:rsidR="00000000" w:rsidRPr="009621EC" w:rsidP="009621EC">
      <w:pPr>
        <w:pStyle w:val="AllowPageBreak"/>
      </w:pPr>
    </w:p>
    <w:p w:rsidR="00000000" w:rsidRPr="009621EC" w:rsidP="009621EC">
      <w:pPr>
        <w:pStyle w:val="Heading1"/>
      </w:pPr>
      <w:bookmarkStart w:id="6" w:name="O_949036"/>
      <w:bookmarkEnd w:id="6"/>
      <w:r w:rsidRPr="009621EC">
        <w:t>Foundation Skills</w:t>
      </w:r>
    </w:p>
    <w:p w:rsidR="00000000" w:rsidRPr="009621EC" w:rsidP="001D1A30">
      <w:pPr>
        <w:pStyle w:val="BodyText"/>
      </w:pPr>
      <w:r w:rsidRPr="009621EC">
        <w:t>This section describes those required skills (reading</w:t>
      </w:r>
      <w:r w:rsidRPr="009621EC">
        <w:t xml:space="preserve">, writing, oral communication and numeracy) that are essential to workplace performance in this unit of competency.  </w:t>
      </w:r>
    </w:p>
    <w:p w:rsidR="00000000" w:rsidRPr="009621EC" w:rsidP="001D1A30">
      <w:pPr>
        <w:pStyle w:val="BodyText"/>
      </w:pPr>
      <w:r w:rsidRPr="009621EC">
        <w:t>Foundation skills essential to performance are explicit in the performance criteria of this unit of competency.</w:t>
      </w:r>
    </w:p>
    <w:p w:rsidR="00000000" w:rsidRPr="009621EC" w:rsidP="009621EC">
      <w:pPr>
        <w:pStyle w:val="Heading1"/>
      </w:pPr>
      <w:bookmarkStart w:id="7" w:name="O_949035"/>
      <w:bookmarkEnd w:id="7"/>
      <w:r w:rsidRPr="009621EC">
        <w:t>Range of</w:t>
      </w:r>
      <w:r w:rsidRPr="009621EC">
        <w:t xml:space="preserve"> Conditions</w:t>
      </w:r>
    </w:p>
    <w:tbl>
      <w:tblPr>
        <w:tblW w:w="9286" w:type="dxa"/>
        <w:tblLayout w:type="fixed"/>
        <w:tblCellMar>
          <w:left w:w="62" w:type="dxa"/>
          <w:right w:w="62" w:type="dxa"/>
        </w:tblCellMar>
        <w:tblLook w:val="0000"/>
      </w:tblPr>
      <w:tblGrid>
        <w:gridCol w:w="2759"/>
        <w:gridCol w:w="6527"/>
      </w:tblGrid>
      <w:tr w:rsidTr="009621EC">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t>This field allows for different work environments and conditions that may affect performance. Essential operating conditions that may be present (depending on the work situation, needs of the candidate, accessibility of the item, and local indu</w:t>
            </w:r>
            <w:r w:rsidRPr="009621EC">
              <w:t>stry and regional contexts) are included.</w:t>
            </w:r>
          </w:p>
        </w:tc>
      </w:tr>
      <w:tr w:rsidTr="009621E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621EC">
            <w:pPr>
              <w:pStyle w:val="BodyText"/>
              <w:rPr>
                <w:lang w:val="en-NZ"/>
              </w:rPr>
            </w:pPr>
            <w:r w:rsidRPr="009621EC">
              <w:rPr>
                <w:rStyle w:val="SpecialBold"/>
              </w:rPr>
              <w:t>Data includes the following:</w:t>
            </w:r>
          </w:p>
        </w:tc>
        <w:tc>
          <w:tcPr>
            <w:tcW w:w="6527" w:type="dxa"/>
            <w:tcBorders>
              <w:top w:val="nil"/>
              <w:left w:val="nil"/>
              <w:bottom w:val="nil"/>
              <w:right w:val="nil"/>
            </w:tcBorders>
            <w:tcMar>
              <w:top w:w="0" w:type="dxa"/>
              <w:left w:w="62" w:type="dxa"/>
              <w:bottom w:w="0" w:type="dxa"/>
              <w:right w:w="62" w:type="dxa"/>
            </w:tcMar>
          </w:tcPr>
          <w:p w:rsidR="00000000" w:rsidRPr="009621EC" w:rsidP="009621EC">
            <w:pPr>
              <w:pStyle w:val="ListBullet"/>
            </w:pPr>
            <w:r w:rsidRPr="009621EC">
              <w:t>factors associated with temperature, noise (noise meter) and dust (Draeger tubes)</w:t>
            </w:r>
          </w:p>
          <w:p w:rsidR="00000000" w:rsidRPr="009621EC" w:rsidP="009621EC">
            <w:pPr>
              <w:pStyle w:val="BodyText"/>
            </w:pPr>
          </w:p>
        </w:tc>
      </w:tr>
    </w:tbl>
    <w:p w:rsidR="00000000" w:rsidRPr="009621EC" w:rsidP="009621EC">
      <w:pPr>
        <w:pStyle w:val="BodyText"/>
      </w:pPr>
    </w:p>
    <w:p w:rsidR="00000000" w:rsidRPr="009621EC" w:rsidP="009621EC">
      <w:pPr>
        <w:pStyle w:val="AllowPageBreak"/>
      </w:pPr>
    </w:p>
    <w:p w:rsidR="00000000" w:rsidRPr="009621EC" w:rsidP="009621EC">
      <w:pPr>
        <w:pStyle w:val="Heading1"/>
      </w:pPr>
      <w:bookmarkStart w:id="8" w:name="O_949034"/>
      <w:bookmarkEnd w:id="8"/>
      <w:r w:rsidRPr="009621EC">
        <w:t>Unit Mapping Information</w:t>
      </w:r>
    </w:p>
    <w:p w:rsidR="00000000" w:rsidRPr="009621EC" w:rsidP="001D1A30">
      <w:pPr>
        <w:pStyle w:val="BodyText"/>
      </w:pPr>
      <w:r w:rsidRPr="009621EC">
        <w:t>Release 1. Supersedes and is equiva</w:t>
      </w:r>
      <w:r w:rsidRPr="009621EC">
        <w:t xml:space="preserve">lent to MEM13006B Collect and evaluate occupational health and safety data for an enterprise or section of an enterprise </w:t>
      </w:r>
    </w:p>
    <w:p w:rsidR="00000000" w:rsidRPr="009621EC" w:rsidP="009621EC">
      <w:pPr>
        <w:pStyle w:val="Heading1"/>
      </w:pPr>
      <w:bookmarkStart w:id="9" w:name="O_949027"/>
      <w:bookmarkEnd w:id="9"/>
      <w:r w:rsidRPr="009621EC">
        <w:t>Links</w:t>
      </w:r>
    </w:p>
    <w:p w:rsidR="00000000" w:rsidRPr="009621EC" w:rsidP="001D1A30">
      <w:pPr>
        <w:pStyle w:val="BodyText"/>
      </w:pPr>
      <w:r w:rsidRPr="009621E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D2BE3">
        <w:rPr>
          <w:rStyle w:val="Hyperlink"/>
        </w:rPr>
        <w:t>https://vetnet.gov.au/Pages/TrainingDocs.aspx?q=b7050d37-5fd0-4740-8f7d-3b7a49c10bb2</w:t>
      </w:r>
      <w:r>
        <w:fldChar w:fldCharType="end"/>
      </w:r>
    </w:p>
    <w:p w:rsidR="00000000" w:rsidRPr="009621EC" w:rsidP="001D1A30">
      <w:pPr>
        <w:pStyle w:val="BodyText"/>
        <w:sectPr w:rsidSect="009621EC">
          <w:headerReference w:type="default" r:id="rId10"/>
          <w:footerReference w:type="default" r:id="rId11"/>
          <w:pgSz w:w="11908" w:h="16833"/>
          <w:pgMar w:top="1702" w:right="1418" w:bottom="1702" w:left="1418" w:header="992" w:footer="992" w:gutter="0"/>
          <w:cols w:space="720"/>
          <w:noEndnote/>
          <w:docGrid w:linePitch="299"/>
        </w:sectPr>
      </w:pPr>
    </w:p>
    <w:p w:rsidR="00000000" w:rsidRPr="009621EC" w:rsidP="009621EC">
      <w:pPr>
        <w:pStyle w:val="SuperHeading"/>
      </w:pPr>
      <w:r w:rsidRPr="009621EC">
        <w:t>Assessment Requirements for MEM13006 Collect and evaluate work health and safety data for an enterprise or section of an enterprise</w:t>
      </w:r>
    </w:p>
    <w:p w:rsidR="00000000" w:rsidRPr="009621EC" w:rsidP="009621EC">
      <w:pPr>
        <w:pStyle w:val="Heading1"/>
      </w:pPr>
      <w:bookmarkStart w:id="10" w:name="O_949029"/>
      <w:bookmarkEnd w:id="10"/>
      <w:r w:rsidRPr="009621EC">
        <w:t>Modification History</w:t>
      </w:r>
    </w:p>
    <w:p w:rsidR="00000000" w:rsidRPr="009621EC" w:rsidP="001D1A30">
      <w:pPr>
        <w:pStyle w:val="BodyText"/>
      </w:pPr>
      <w:r w:rsidRPr="009621EC">
        <w:t>Relea</w:t>
      </w:r>
      <w:r w:rsidRPr="009621EC">
        <w:t xml:space="preserve">se 1. Supersedes and is equivalent to MEM13006B Collect and evaluate occupational health and safety data for an enterprise or section of an enterprise </w:t>
      </w:r>
    </w:p>
    <w:p w:rsidR="00000000" w:rsidRPr="009621EC" w:rsidP="009621EC">
      <w:pPr>
        <w:pStyle w:val="Heading1"/>
      </w:pPr>
      <w:bookmarkStart w:id="11" w:name="O_949032"/>
      <w:bookmarkEnd w:id="11"/>
      <w:r w:rsidRPr="009621EC">
        <w:t>Performance Evidence</w:t>
      </w:r>
    </w:p>
    <w:p w:rsidR="00000000" w:rsidRPr="009621EC" w:rsidP="001D1A30">
      <w:pPr>
        <w:pStyle w:val="BodyText"/>
      </w:pPr>
      <w:r w:rsidRPr="009621EC">
        <w:t>Evidence required to demonstrate competence in this unit must be relevant to and satisfy the requirements of the elements and performance criteria on at least two (2) occasions and include:</w:t>
      </w:r>
    </w:p>
    <w:p w:rsidR="00000000" w:rsidRPr="009621EC" w:rsidP="009621EC">
      <w:pPr>
        <w:pStyle w:val="ListBullet"/>
      </w:pPr>
      <w:r w:rsidRPr="009621EC">
        <w:t>following work instructions, standard operating procedures (SOPs)</w:t>
      </w:r>
      <w:r w:rsidRPr="009621EC">
        <w:t xml:space="preserve"> and safe work practices </w:t>
      </w:r>
    </w:p>
    <w:p w:rsidR="00000000" w:rsidRPr="009621EC" w:rsidP="009621EC">
      <w:pPr>
        <w:pStyle w:val="ListBullet"/>
      </w:pPr>
      <w:r w:rsidRPr="009621EC">
        <w:t>identifying and interpreting specifications, charts and other applicable reference documents to collect and evaluate work health and safety (WHS) data</w:t>
      </w:r>
    </w:p>
    <w:p w:rsidR="00000000" w:rsidRPr="009621EC" w:rsidP="009621EC">
      <w:pPr>
        <w:pStyle w:val="ListBullet"/>
      </w:pPr>
      <w:r w:rsidRPr="009621EC">
        <w:t>collecting and evaluating data from required measurements in accordance with ma</w:t>
      </w:r>
      <w:r w:rsidRPr="009621EC">
        <w:t>nufacturers’ specifications and procedures</w:t>
      </w:r>
    </w:p>
    <w:p w:rsidR="00000000" w:rsidRPr="009621EC" w:rsidP="009621EC">
      <w:pPr>
        <w:pStyle w:val="ListBullet"/>
      </w:pPr>
      <w:r w:rsidRPr="009621EC">
        <w:t>using numerical operations and calculations associated with collecting and evaluating WHS data</w:t>
      </w:r>
    </w:p>
    <w:p w:rsidR="00000000" w:rsidRPr="009621EC" w:rsidP="009621EC">
      <w:pPr>
        <w:pStyle w:val="ListBullet"/>
      </w:pPr>
      <w:r w:rsidRPr="009621EC">
        <w:t>detecting and reporting hazards and preparing reports requiring remedial action in accordance with procedures</w:t>
      </w:r>
    </w:p>
    <w:p w:rsidR="00000000" w:rsidRPr="009621EC" w:rsidP="009621EC">
      <w:pPr>
        <w:pStyle w:val="ListBullet"/>
      </w:pPr>
      <w:r w:rsidRPr="009621EC">
        <w:t>maintaining records of the WHS factors monitored in accordance with SOPs.</w:t>
      </w:r>
    </w:p>
    <w:p w:rsidR="00000000" w:rsidRPr="009621EC" w:rsidP="009621EC">
      <w:pPr>
        <w:pStyle w:val="AllowPageBreak"/>
      </w:pPr>
    </w:p>
    <w:p w:rsidR="00000000" w:rsidRPr="009621EC" w:rsidP="009621EC">
      <w:pPr>
        <w:pStyle w:val="Heading1"/>
      </w:pPr>
      <w:bookmarkStart w:id="12" w:name="O_949031"/>
      <w:bookmarkEnd w:id="12"/>
      <w:r w:rsidRPr="009621EC">
        <w:t>Knowledge Evidence</w:t>
      </w:r>
    </w:p>
    <w:p w:rsidR="00000000" w:rsidRPr="009621EC" w:rsidP="001D1A30">
      <w:pPr>
        <w:pStyle w:val="BodyText"/>
      </w:pPr>
      <w:r w:rsidRPr="009621EC">
        <w:t>Evidence required to demonstrate the required knowledge for this unit must be relevant to and satisfy the requirements of the elements and perform</w:t>
      </w:r>
      <w:r w:rsidRPr="009621EC">
        <w:t>ance criteria and include knowledge of:</w:t>
      </w:r>
    </w:p>
    <w:p w:rsidR="00000000" w:rsidRPr="009621EC" w:rsidP="009621EC">
      <w:pPr>
        <w:pStyle w:val="ListBullet"/>
      </w:pPr>
      <w:r w:rsidRPr="009621EC">
        <w:t>safe work practices and procedures and use of personal protective equipment (PPE)</w:t>
      </w:r>
    </w:p>
    <w:p w:rsidR="00000000" w:rsidRPr="009621EC" w:rsidP="009621EC">
      <w:pPr>
        <w:pStyle w:val="ListBullet"/>
      </w:pPr>
      <w:r w:rsidRPr="009621EC">
        <w:t xml:space="preserve">measurements to be taken and recorded and procedures for taking each type of measurement </w:t>
      </w:r>
    </w:p>
    <w:p w:rsidR="00000000" w:rsidRPr="009621EC" w:rsidP="009621EC">
      <w:pPr>
        <w:pStyle w:val="ListBullet"/>
      </w:pPr>
      <w:r w:rsidRPr="009621EC">
        <w:t>tools, techniques and equipment required to</w:t>
      </w:r>
      <w:r w:rsidRPr="009621EC">
        <w:t xml:space="preserve"> carry out the measurements</w:t>
      </w:r>
    </w:p>
    <w:p w:rsidR="00000000" w:rsidRPr="009621EC" w:rsidP="009621EC">
      <w:pPr>
        <w:pStyle w:val="ListBullet"/>
      </w:pPr>
      <w:r w:rsidRPr="009621EC">
        <w:t xml:space="preserve">WHS standards for each factor being measured </w:t>
      </w:r>
    </w:p>
    <w:p w:rsidR="00000000" w:rsidRPr="009621EC" w:rsidP="009621EC">
      <w:pPr>
        <w:pStyle w:val="ListBullet"/>
      </w:pPr>
      <w:r w:rsidRPr="009621EC">
        <w:t xml:space="preserve">variations between the data collected and the appropriate WHS standard </w:t>
      </w:r>
    </w:p>
    <w:p w:rsidR="00000000" w:rsidRPr="009621EC" w:rsidP="009621EC">
      <w:pPr>
        <w:pStyle w:val="ListBullet"/>
      </w:pPr>
      <w:r w:rsidRPr="009621EC">
        <w:t xml:space="preserve">probable causes of the variation of the data collected from the WHS standard </w:t>
      </w:r>
    </w:p>
    <w:p w:rsidR="00000000" w:rsidRPr="009621EC" w:rsidP="009621EC">
      <w:pPr>
        <w:pStyle w:val="ListBullet"/>
      </w:pPr>
      <w:r w:rsidRPr="009621EC">
        <w:t>procedures for maintaining recor</w:t>
      </w:r>
      <w:r w:rsidRPr="009621EC">
        <w:t>ds of WHS factors measured</w:t>
      </w:r>
    </w:p>
    <w:p w:rsidR="00000000" w:rsidRPr="009621EC" w:rsidP="009621EC">
      <w:pPr>
        <w:pStyle w:val="ListBullet"/>
      </w:pPr>
      <w:r w:rsidRPr="009621EC">
        <w:t>procedures for reporting hazards and the authority to whom hazards are to be reported.</w:t>
      </w:r>
    </w:p>
    <w:p w:rsidR="00000000" w:rsidRPr="009621EC" w:rsidP="009621EC">
      <w:pPr>
        <w:pStyle w:val="AllowPageBreak"/>
      </w:pPr>
    </w:p>
    <w:p w:rsidR="00000000" w:rsidRPr="009621EC" w:rsidP="009621EC">
      <w:pPr>
        <w:pStyle w:val="Heading1"/>
      </w:pPr>
      <w:bookmarkStart w:id="13" w:name="O_949030"/>
      <w:bookmarkEnd w:id="13"/>
      <w:r w:rsidRPr="009621EC">
        <w:t>Assessment Conditions</w:t>
      </w:r>
    </w:p>
    <w:p w:rsidR="00000000" w:rsidRPr="009621EC" w:rsidP="009621EC">
      <w:pPr>
        <w:pStyle w:val="ListBullet"/>
      </w:pPr>
      <w:r w:rsidRPr="009621EC">
        <w:t>Assessors must:</w:t>
      </w:r>
    </w:p>
    <w:p w:rsidR="00000000" w:rsidRPr="009621EC" w:rsidP="009621EC">
      <w:pPr>
        <w:pStyle w:val="ListBullet2"/>
      </w:pPr>
      <w:r w:rsidRPr="009621EC">
        <w:t>have vocational competency in collecting and evaluating work health and safety data f</w:t>
      </w:r>
      <w:r w:rsidRPr="009621EC">
        <w:t>or an enterprise or section of an enterprise at least to the level being assessed with relevant industry knowledge and experience</w:t>
      </w:r>
    </w:p>
    <w:p w:rsidR="00000000" w:rsidRPr="009621EC" w:rsidP="009621EC">
      <w:pPr>
        <w:pStyle w:val="ListBullet2"/>
      </w:pPr>
      <w:r w:rsidRPr="009621EC">
        <w:t xml:space="preserve">satisfy the assessor requirements in the </w:t>
      </w:r>
      <w:r w:rsidRPr="009621EC">
        <w:rPr>
          <w:rStyle w:val="Emphasis"/>
        </w:rPr>
        <w:t xml:space="preserve">Standards for Registered Training Organisations 2015 </w:t>
      </w:r>
      <w:r w:rsidRPr="009621EC">
        <w:t>or its replacement</w:t>
      </w:r>
      <w:r w:rsidRPr="009621EC">
        <w:rPr>
          <w:rStyle w:val="Emphasis"/>
        </w:rPr>
        <w:t xml:space="preserve"> </w:t>
      </w:r>
      <w:r w:rsidRPr="009621EC">
        <w:t xml:space="preserve">and comply with the </w:t>
      </w:r>
      <w:r w:rsidRPr="009621EC">
        <w:rPr>
          <w:rStyle w:val="Emphasis"/>
        </w:rPr>
        <w:t xml:space="preserve">National Vocational Education and Training Regulator Act 2011, </w:t>
      </w:r>
      <w:r w:rsidRPr="009621EC">
        <w:t>its replacement</w:t>
      </w:r>
      <w:r w:rsidRPr="009621EC">
        <w:rPr>
          <w:rStyle w:val="Emphasis"/>
        </w:rPr>
        <w:t xml:space="preserve"> </w:t>
      </w:r>
      <w:r w:rsidRPr="009621EC">
        <w:t>or equivalent legislation covering VET regulation in a non-referring state/territory as the case requires</w:t>
      </w:r>
    </w:p>
    <w:p w:rsidR="00000000" w:rsidRPr="009621EC" w:rsidP="009621EC">
      <w:pPr>
        <w:pStyle w:val="ListBullet"/>
      </w:pPr>
      <w:r w:rsidRPr="009621EC">
        <w:t>Where possible assessment must occur in operationa</w:t>
      </w:r>
      <w:r w:rsidRPr="009621EC">
        <w:t xml:space="preserve">l workplace situations. Where this is not possible or where personal safety or environmental damage are limiting factors, assessment must occur in a sufficiently rigorous simulated environment that reflects realistic operational workplace conditions. This </w:t>
      </w:r>
      <w:r w:rsidRPr="009621EC">
        <w:t>must cover all aspects of workplace performance, including environment, task skills, task management skills, contingency management skills and job role environment skills</w:t>
      </w:r>
    </w:p>
    <w:p w:rsidR="00000000" w:rsidRPr="009621EC" w:rsidP="009621EC">
      <w:pPr>
        <w:pStyle w:val="ListBullet"/>
      </w:pPr>
      <w:r w:rsidRPr="009621EC">
        <w:t xml:space="preserve">Conditions for assessment must include access to all tools, equipment, materials and </w:t>
      </w:r>
      <w:r w:rsidRPr="009621EC">
        <w:t>documentation required, including relevant workplace procedures, product and manufacturing specifications</w:t>
      </w:r>
    </w:p>
    <w:p w:rsidR="00000000" w:rsidRPr="009621EC" w:rsidP="009621EC">
      <w:pPr>
        <w:pStyle w:val="ListBullet"/>
      </w:pPr>
      <w:r w:rsidRPr="009621EC">
        <w:t xml:space="preserve">Assessment processes and techniques must be appropriate to the language, literacy and numeracy requirements of the work being performed and the needs </w:t>
      </w:r>
      <w:r w:rsidRPr="009621EC">
        <w:t>of the candidate.</w:t>
      </w:r>
    </w:p>
    <w:p w:rsidR="00000000" w:rsidRPr="009621EC" w:rsidP="009621EC">
      <w:pPr>
        <w:pStyle w:val="AllowPageBreak"/>
      </w:pPr>
    </w:p>
    <w:p w:rsidR="00000000" w:rsidRPr="009621EC" w:rsidP="009621EC">
      <w:pPr>
        <w:pStyle w:val="Heading1"/>
      </w:pPr>
      <w:bookmarkStart w:id="14" w:name="O_949028"/>
      <w:bookmarkEnd w:id="14"/>
      <w:r w:rsidRPr="009621EC">
        <w:t>Links</w:t>
      </w:r>
    </w:p>
    <w:p w:rsidR="00000000" w:rsidRPr="009621EC" w:rsidP="001D1A30">
      <w:pPr>
        <w:pStyle w:val="BodyText"/>
      </w:pPr>
      <w:r w:rsidRPr="009621E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D2BE3">
        <w:rPr>
          <w:rStyle w:val="Hyperlink"/>
        </w:rPr>
        <w:t>https://vetnet.gov.au/Pages/TrainingDocs.aspx?q=b7050d37-5fd0-4740-8f7d-3b7a49c10bb2</w:t>
      </w:r>
      <w:r>
        <w:fldChar w:fldCharType="end"/>
      </w:r>
    </w:p>
    <w:p w:rsidR="00000000" w:rsidRPr="009621EC" w:rsidP="009621EC"/>
    <w:sectPr w:rsidSect="009621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rsidRPr="001D1A30" w:rsidP="001D1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30" w:rsidP="00962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A30" w:rsidP="009621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D1A30" w:rsidP="009621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rsidP="009621EC">
    <w:pPr>
      <w:pStyle w:val="Footer"/>
      <w:framePr w:wrap="around"/>
    </w:pPr>
    <w:r>
      <w:fldChar w:fldCharType="begin"/>
    </w:r>
    <w:r>
      <w:instrText xml:space="preserve"> DOCPROPERTY  Subject  \* MERGEFORMAT </w:instrText>
    </w:r>
    <w:r>
      <w:fldChar w:fldCharType="separate"/>
    </w:r>
    <w:r w:rsidR="001D1A30">
      <w:t>Approved</w:t>
    </w:r>
    <w:r w:rsidR="001D1A30">
      <w:fldChar w:fldCharType="end"/>
    </w:r>
    <w:r>
      <w:tab/>
      <w:t xml:space="preserve">Page </w:t>
    </w:r>
    <w:r>
      <w:fldChar w:fldCharType="begin"/>
    </w:r>
    <w:r>
      <w:instrText xml:space="preserve"> PAGE  \* Arabic  \* MERGEFORMAT </w:instrText>
    </w:r>
    <w:r>
      <w:fldChar w:fldCharType="separate"/>
    </w:r>
    <w:r w:rsidR="001D1A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1A30">
      <w:rPr>
        <w:noProof/>
      </w:rPr>
      <w:t>4</w:t>
    </w:r>
    <w:r>
      <w:rPr>
        <w:noProof/>
      </w:rPr>
      <w:fldChar w:fldCharType="end"/>
    </w:r>
  </w:p>
  <w:p w:rsidR="009621EC" w:rsidP="009621EC">
    <w:pPr>
      <w:pStyle w:val="Footer"/>
      <w:framePr w:wrap="around"/>
    </w:pPr>
    <w:r>
      <w:t xml:space="preserve">© Commonwealth of Australia, </w:t>
    </w:r>
    <w:r>
      <w:fldChar w:fldCharType="begin"/>
    </w:r>
    <w:r>
      <w:instrText xml:space="preserve"> DATE  \@ "yyyy"  \* MERGEFORMAT </w:instrText>
    </w:r>
    <w:r>
      <w:fldChar w:fldCharType="separate"/>
    </w:r>
    <w:r w:rsidR="001D1A30">
      <w:rPr>
        <w:noProof/>
      </w:rPr>
      <w:t>2025</w:t>
    </w:r>
    <w:r>
      <w:fldChar w:fldCharType="end"/>
    </w:r>
    <w:r>
      <w:tab/>
    </w:r>
    <w:r>
      <w:fldChar w:fldCharType="begin"/>
    </w:r>
    <w:r>
      <w:instrText xml:space="preserve"> DOCPROPERTY  Author  \* MERGEFORMAT </w:instrText>
    </w:r>
    <w:r>
      <w:fldChar w:fldCharType="separate"/>
    </w:r>
    <w:r w:rsidR="001D1A30">
      <w:t>Manufacturing Industry Skills Alliance</w:t>
    </w:r>
    <w:r w:rsidR="001D1A30">
      <w:fldChar w:fldCharType="end"/>
    </w:r>
  </w:p>
  <w:p w:rsidR="009621EC" w:rsidP="009621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1EC" w:rsidRPr="001D1A30" w:rsidP="001D1A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A30" w:rsidRPr="002D2AF8" w:rsidP="009621EC">
    <w:pPr>
      <w:pStyle w:val="Header"/>
      <w:framePr w:wrap="around"/>
    </w:pPr>
    <w:r>
      <w:fldChar w:fldCharType="begin"/>
    </w:r>
    <w:r>
      <w:instrText xml:space="preserve"> TITLE   \* MERGEFORMAT </w:instrText>
    </w:r>
    <w:r>
      <w:fldChar w:fldCharType="separate"/>
    </w:r>
    <w:r>
      <w:t>MEM13006 Collect and evaluate work health and safety data for an enterprise or section of an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1A30" w:rsidP="009621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EC" w:rsidRPr="002D2AF8" w:rsidP="009621EC">
    <w:pPr>
      <w:pStyle w:val="Header"/>
      <w:framePr w:wrap="around"/>
    </w:pPr>
    <w:r>
      <w:fldChar w:fldCharType="begin"/>
    </w:r>
    <w:r>
      <w:instrText xml:space="preserve"> TITLE   \* MERGEFORMAT </w:instrText>
    </w:r>
    <w:r>
      <w:fldChar w:fldCharType="separate"/>
    </w:r>
    <w:r w:rsidR="001D1A30">
      <w:t>MEM13006 Collect and evaluate work health and safety data for an enterprise or section of an enterprise</w:t>
    </w:r>
    <w:r w:rsidR="001D1A30">
      <w:fldChar w:fldCharType="end"/>
    </w:r>
    <w:r>
      <w:tab/>
      <w:t xml:space="preserve">Date this document was generated: </w:t>
    </w:r>
    <w:r>
      <w:fldChar w:fldCharType="begin"/>
    </w:r>
    <w:r>
      <w:instrText xml:space="preserve"> CREATEDATE  \@ "d MMMM yyyy"  \* MERGEFORMAT </w:instrText>
    </w:r>
    <w:r>
      <w:fldChar w:fldCharType="separate"/>
    </w:r>
    <w:r w:rsidR="001D1A30">
      <w:rPr>
        <w:noProof/>
      </w:rPr>
      <w:t>2 March 2025</w:t>
    </w:r>
    <w:r>
      <w:fldChar w:fldCharType="end"/>
    </w:r>
  </w:p>
  <w:p w:rsidR="009621EC" w:rsidP="009621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CB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B8B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05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1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1EC"/>
    <w:pPr>
      <w:spacing w:before="360" w:after="60"/>
      <w:outlineLvl w:val="0"/>
    </w:pPr>
    <w:rPr>
      <w:sz w:val="32"/>
    </w:rPr>
  </w:style>
  <w:style w:type="paragraph" w:styleId="Heading2">
    <w:name w:val="heading 2"/>
    <w:basedOn w:val="HeadingBase"/>
    <w:next w:val="BodyText"/>
    <w:link w:val="Heading2Char"/>
    <w:qFormat/>
    <w:rsid w:val="009621EC"/>
    <w:pPr>
      <w:keepLines/>
      <w:spacing w:before="240" w:after="120"/>
      <w:outlineLvl w:val="1"/>
    </w:pPr>
    <w:rPr>
      <w:sz w:val="28"/>
      <w:szCs w:val="40"/>
    </w:rPr>
  </w:style>
  <w:style w:type="paragraph" w:styleId="Heading3">
    <w:name w:val="heading 3"/>
    <w:basedOn w:val="HeadingBase"/>
    <w:next w:val="BodyText"/>
    <w:link w:val="Heading3Char"/>
    <w:qFormat/>
    <w:rsid w:val="009621EC"/>
    <w:pPr>
      <w:spacing w:before="180" w:after="120"/>
      <w:outlineLvl w:val="2"/>
    </w:pPr>
    <w:rPr>
      <w:spacing w:val="-10"/>
      <w:kern w:val="32"/>
    </w:rPr>
  </w:style>
  <w:style w:type="paragraph" w:styleId="Heading4">
    <w:name w:val="heading 4"/>
    <w:basedOn w:val="HeadingBase"/>
    <w:next w:val="BodyText"/>
    <w:link w:val="Heading4Char"/>
    <w:qFormat/>
    <w:rsid w:val="009621EC"/>
    <w:pPr>
      <w:spacing w:before="160" w:after="120"/>
      <w:outlineLvl w:val="3"/>
    </w:pPr>
    <w:rPr>
      <w:sz w:val="22"/>
    </w:rPr>
  </w:style>
  <w:style w:type="paragraph" w:styleId="Heading5">
    <w:name w:val="heading 5"/>
    <w:basedOn w:val="HeadingBase"/>
    <w:next w:val="Normal"/>
    <w:link w:val="Heading5Char"/>
    <w:qFormat/>
    <w:rsid w:val="009621EC"/>
    <w:pPr>
      <w:spacing w:before="80"/>
      <w:outlineLvl w:val="4"/>
    </w:pPr>
    <w:rPr>
      <w:color w:val="918585"/>
      <w:sz w:val="20"/>
    </w:rPr>
  </w:style>
  <w:style w:type="paragraph" w:styleId="Heading6">
    <w:name w:val="heading 6"/>
    <w:basedOn w:val="HeadingBase"/>
    <w:next w:val="Normal"/>
    <w:link w:val="Heading6Char"/>
    <w:qFormat/>
    <w:rsid w:val="009621EC"/>
    <w:pPr>
      <w:spacing w:before="60"/>
      <w:outlineLvl w:val="5"/>
    </w:pPr>
    <w:rPr>
      <w:color w:val="918585"/>
      <w:sz w:val="20"/>
    </w:rPr>
  </w:style>
  <w:style w:type="paragraph" w:styleId="Heading7">
    <w:name w:val="heading 7"/>
    <w:basedOn w:val="Normal"/>
    <w:next w:val="Normal"/>
    <w:link w:val="Heading7Char"/>
    <w:qFormat/>
    <w:rsid w:val="009621EC"/>
    <w:pPr>
      <w:ind w:left="720"/>
      <w:outlineLvl w:val="6"/>
    </w:pPr>
    <w:rPr>
      <w:i/>
    </w:rPr>
  </w:style>
  <w:style w:type="paragraph" w:styleId="Heading8">
    <w:name w:val="heading 8"/>
    <w:basedOn w:val="Normal"/>
    <w:next w:val="Normal"/>
    <w:link w:val="Heading8Char"/>
    <w:qFormat/>
    <w:rsid w:val="009621EC"/>
    <w:pPr>
      <w:ind w:left="720"/>
      <w:outlineLvl w:val="7"/>
    </w:pPr>
    <w:rPr>
      <w:i/>
    </w:rPr>
  </w:style>
  <w:style w:type="paragraph" w:styleId="Heading9">
    <w:name w:val="heading 9"/>
    <w:basedOn w:val="Normal"/>
    <w:next w:val="Normal"/>
    <w:link w:val="Heading9Char"/>
    <w:qFormat/>
    <w:rsid w:val="009621EC"/>
    <w:pPr>
      <w:ind w:left="720"/>
      <w:outlineLvl w:val="8"/>
    </w:pPr>
    <w:rPr>
      <w:i/>
    </w:rPr>
  </w:style>
  <w:style w:type="character" w:default="1" w:styleId="DefaultParagraphFont">
    <w:name w:val="Default Paragraph Font"/>
    <w:uiPriority w:val="1"/>
    <w:unhideWhenUsed/>
    <w:rsid w:val="00962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1EC"/>
  </w:style>
  <w:style w:type="character" w:customStyle="1" w:styleId="Heading1Char">
    <w:name w:val="Heading 1 Char"/>
    <w:basedOn w:val="DefaultParagraphFont"/>
    <w:link w:val="Heading1"/>
    <w:rsid w:val="009621EC"/>
    <w:rPr>
      <w:rFonts w:ascii="Times New Roman" w:eastAsia="Times New Roman" w:hAnsi="Times New Roman" w:cs="Times New Roman"/>
      <w:b/>
      <w:sz w:val="32"/>
      <w:szCs w:val="20"/>
      <w:lang w:eastAsia="en-US"/>
    </w:rPr>
  </w:style>
  <w:style w:type="paragraph" w:styleId="BodyText">
    <w:name w:val="Body Text"/>
    <w:basedOn w:val="Normal"/>
    <w:link w:val="BodyTextChar"/>
    <w:rsid w:val="009621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1EC"/>
    <w:rPr>
      <w:rFonts w:ascii="Times New Roman" w:eastAsia="Times New Roman" w:hAnsi="Times New Roman" w:cs="Times New Roman"/>
      <w:sz w:val="24"/>
      <w:lang w:eastAsia="en-US"/>
    </w:rPr>
  </w:style>
  <w:style w:type="paragraph" w:styleId="ListBullet">
    <w:name w:val="List Bullet"/>
    <w:basedOn w:val="List"/>
    <w:rsid w:val="009621EC"/>
    <w:pPr>
      <w:numPr>
        <w:numId w:val="12"/>
      </w:numPr>
      <w:tabs>
        <w:tab w:val="clear" w:pos="340"/>
      </w:tabs>
      <w:spacing w:before="40" w:after="40"/>
    </w:pPr>
  </w:style>
  <w:style w:type="character" w:customStyle="1" w:styleId="SpecialBold">
    <w:name w:val="Special Bold"/>
    <w:basedOn w:val="DefaultParagraphFont"/>
    <w:rsid w:val="009621EC"/>
    <w:rPr>
      <w:b/>
      <w:spacing w:val="0"/>
    </w:rPr>
  </w:style>
  <w:style w:type="paragraph" w:styleId="ListBullet2">
    <w:name w:val="List Bullet 2"/>
    <w:basedOn w:val="List2"/>
    <w:rsid w:val="009621EC"/>
    <w:pPr>
      <w:numPr>
        <w:numId w:val="13"/>
      </w:numPr>
      <w:tabs>
        <w:tab w:val="clear" w:pos="680"/>
      </w:tabs>
    </w:pPr>
  </w:style>
  <w:style w:type="character" w:styleId="Emphasis">
    <w:name w:val="Emphasis"/>
    <w:basedOn w:val="DefaultParagraphFont"/>
    <w:qFormat/>
    <w:rsid w:val="009621EC"/>
    <w:rPr>
      <w:i/>
    </w:rPr>
  </w:style>
  <w:style w:type="paragraph" w:customStyle="1" w:styleId="SuperHeading">
    <w:name w:val="SuperHeading"/>
    <w:basedOn w:val="Normal"/>
    <w:rsid w:val="009621EC"/>
    <w:pPr>
      <w:spacing w:before="240" w:after="120"/>
      <w:outlineLvl w:val="0"/>
    </w:pPr>
    <w:rPr>
      <w:rFonts w:ascii="Times New Roman" w:hAnsi="Times New Roman"/>
      <w:b/>
      <w:sz w:val="32"/>
    </w:rPr>
  </w:style>
  <w:style w:type="paragraph" w:customStyle="1" w:styleId="AllowPageBreak">
    <w:name w:val="AllowPageBreak"/>
    <w:rsid w:val="009621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1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1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1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1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1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1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1EC"/>
    <w:rPr>
      <w:rFonts w:ascii="Courier New" w:eastAsia="Times New Roman" w:hAnsi="Courier New" w:cs="Times New Roman"/>
      <w:i/>
      <w:szCs w:val="20"/>
      <w:lang w:eastAsia="en-US"/>
    </w:rPr>
  </w:style>
  <w:style w:type="paragraph" w:customStyle="1" w:styleId="HeadingBase">
    <w:name w:val="Heading Base"/>
    <w:rsid w:val="00962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1EC"/>
    <w:pPr>
      <w:tabs>
        <w:tab w:val="right" w:leader="dot" w:pos="9072"/>
      </w:tabs>
      <w:ind w:left="567"/>
    </w:pPr>
    <w:rPr>
      <w:szCs w:val="22"/>
    </w:rPr>
  </w:style>
  <w:style w:type="paragraph" w:customStyle="1" w:styleId="TOCBase">
    <w:name w:val="TOC Base"/>
    <w:rsid w:val="00962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1EC"/>
    <w:pPr>
      <w:tabs>
        <w:tab w:val="right" w:leader="dot" w:pos="9072"/>
      </w:tabs>
      <w:spacing w:before="40" w:after="40"/>
      <w:ind w:left="284"/>
    </w:pPr>
    <w:rPr>
      <w:rFonts w:ascii="Times New Roman" w:hAnsi="Times New Roman"/>
    </w:rPr>
  </w:style>
  <w:style w:type="paragraph" w:styleId="TOC1">
    <w:name w:val="toc 1"/>
    <w:basedOn w:val="TOCBase"/>
    <w:next w:val="Normal"/>
    <w:rsid w:val="009621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1EC"/>
    <w:rPr>
      <w:rFonts w:ascii="Times New Roman" w:eastAsia="Times New Roman" w:hAnsi="Times New Roman" w:cs="Times New Roman"/>
      <w:sz w:val="16"/>
      <w:lang w:eastAsia="en-US"/>
    </w:rPr>
  </w:style>
  <w:style w:type="paragraph" w:styleId="Title">
    <w:name w:val="Title"/>
    <w:basedOn w:val="HeadingBase"/>
    <w:link w:val="TitleChar"/>
    <w:qFormat/>
    <w:rsid w:val="009621EC"/>
    <w:pPr>
      <w:spacing w:before="5040"/>
      <w:jc w:val="center"/>
    </w:pPr>
    <w:rPr>
      <w:sz w:val="48"/>
      <w:szCs w:val="72"/>
      <w:lang w:val="en-US"/>
    </w:rPr>
  </w:style>
  <w:style w:type="character" w:customStyle="1" w:styleId="TitleChar">
    <w:name w:val="Title Char"/>
    <w:basedOn w:val="DefaultParagraphFont"/>
    <w:link w:val="Title"/>
    <w:rsid w:val="00962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1EC"/>
    <w:pPr>
      <w:tabs>
        <w:tab w:val="left" w:pos="3600"/>
        <w:tab w:val="left" w:pos="3958"/>
      </w:tabs>
    </w:pPr>
  </w:style>
  <w:style w:type="paragraph" w:styleId="List">
    <w:name w:val="List"/>
    <w:basedOn w:val="BodyText"/>
    <w:next w:val="BodyText"/>
    <w:rsid w:val="009621EC"/>
    <w:pPr>
      <w:tabs>
        <w:tab w:val="left" w:pos="340"/>
      </w:tabs>
      <w:spacing w:before="60" w:after="60"/>
      <w:ind w:left="340" w:hanging="340"/>
    </w:pPr>
  </w:style>
  <w:style w:type="paragraph" w:customStyle="1" w:styleId="Note">
    <w:name w:val="Note"/>
    <w:basedOn w:val="BodyText"/>
    <w:rsid w:val="00962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1EC"/>
    <w:pPr>
      <w:framePr w:wrap="auto" w:hAnchor="text" w:y="6049"/>
    </w:pPr>
    <w:rPr>
      <w:color w:val="000000"/>
      <w:sz w:val="40"/>
    </w:rPr>
  </w:style>
  <w:style w:type="paragraph" w:customStyle="1" w:styleId="TOCTitle">
    <w:name w:val="TOCTitle"/>
    <w:basedOn w:val="Heading1"/>
    <w:rsid w:val="009621EC"/>
    <w:pPr>
      <w:spacing w:after="240"/>
      <w:jc w:val="center"/>
      <w:outlineLvl w:val="9"/>
    </w:pPr>
    <w:rPr>
      <w:caps/>
    </w:rPr>
  </w:style>
  <w:style w:type="paragraph" w:customStyle="1" w:styleId="Version">
    <w:name w:val="Version"/>
    <w:rsid w:val="009621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1EC"/>
    <w:pPr>
      <w:keepNext w:val="0"/>
      <w:tabs>
        <w:tab w:val="right" w:pos="4176"/>
      </w:tabs>
      <w:ind w:left="198" w:hanging="198"/>
    </w:pPr>
    <w:rPr>
      <w:rFonts w:ascii="Garamond" w:hAnsi="Garamond"/>
    </w:rPr>
  </w:style>
  <w:style w:type="paragraph" w:styleId="IndexHeading">
    <w:name w:val="index heading"/>
    <w:basedOn w:val="Normal"/>
    <w:next w:val="Index1"/>
    <w:semiHidden/>
    <w:rsid w:val="009621EC"/>
    <w:pPr>
      <w:spacing w:before="120" w:after="120"/>
    </w:pPr>
    <w:rPr>
      <w:rFonts w:ascii="Arial" w:hAnsi="Arial"/>
      <w:b/>
      <w:color w:val="918585"/>
      <w:sz w:val="24"/>
    </w:rPr>
  </w:style>
  <w:style w:type="paragraph" w:styleId="Header">
    <w:name w:val="header"/>
    <w:basedOn w:val="Normal"/>
    <w:link w:val="HeaderChar"/>
    <w:rsid w:val="00962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1EC"/>
    <w:rPr>
      <w:rFonts w:ascii="Times New Roman" w:eastAsia="Times New Roman" w:hAnsi="Times New Roman" w:cs="Times New Roman"/>
      <w:sz w:val="16"/>
      <w:szCs w:val="20"/>
      <w:lang w:val="en-GB" w:eastAsia="en-US"/>
    </w:rPr>
  </w:style>
  <w:style w:type="paragraph" w:customStyle="1" w:styleId="Chapter">
    <w:name w:val="Chapter"/>
    <w:basedOn w:val="Normal"/>
    <w:rsid w:val="009621EC"/>
    <w:pPr>
      <w:spacing w:before="240"/>
    </w:pPr>
    <w:rPr>
      <w:rFonts w:ascii="Times New Roman" w:hAnsi="Times New Roman"/>
      <w:smallCaps/>
      <w:spacing w:val="80"/>
      <w:sz w:val="28"/>
    </w:rPr>
  </w:style>
  <w:style w:type="paragraph" w:customStyle="1" w:styleId="InChapter">
    <w:name w:val="InChapter"/>
    <w:basedOn w:val="Heading3"/>
    <w:rsid w:val="009621EC"/>
    <w:pPr>
      <w:spacing w:after="240"/>
      <w:outlineLvl w:val="9"/>
    </w:pPr>
    <w:rPr>
      <w:noProof/>
    </w:rPr>
  </w:style>
  <w:style w:type="paragraph" w:styleId="Index2">
    <w:name w:val="index 2"/>
    <w:basedOn w:val="Normal"/>
    <w:next w:val="Normal"/>
    <w:semiHidden/>
    <w:rsid w:val="009621EC"/>
    <w:pPr>
      <w:tabs>
        <w:tab w:val="right" w:pos="4176"/>
      </w:tabs>
      <w:ind w:left="568" w:hanging="284"/>
    </w:pPr>
    <w:rPr>
      <w:rFonts w:ascii="Garamond" w:hAnsi="Garamond"/>
    </w:rPr>
  </w:style>
  <w:style w:type="paragraph" w:customStyle="1" w:styleId="Byline">
    <w:name w:val="Byline"/>
    <w:rsid w:val="00962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1EC"/>
    <w:pPr>
      <w:tabs>
        <w:tab w:val="clear" w:pos="3600"/>
        <w:tab w:val="clear" w:pos="3958"/>
      </w:tabs>
      <w:jc w:val="right"/>
    </w:pPr>
  </w:style>
  <w:style w:type="paragraph" w:styleId="Caption">
    <w:name w:val="caption"/>
    <w:basedOn w:val="BodyText"/>
    <w:next w:val="Normal"/>
    <w:qFormat/>
    <w:rsid w:val="009621EC"/>
    <w:pPr>
      <w:framePr w:w="2268" w:hSpace="181" w:vSpace="181" w:wrap="around" w:vAnchor="text" w:hAnchor="page" w:x="1135" w:y="285" w:anchorLock="1"/>
    </w:pPr>
    <w:rPr>
      <w:i/>
    </w:rPr>
  </w:style>
  <w:style w:type="paragraph" w:customStyle="1" w:styleId="MiniTOCTitle">
    <w:name w:val="MiniTOCTitle"/>
    <w:basedOn w:val="Heading4"/>
    <w:rsid w:val="009621EC"/>
    <w:pPr>
      <w:spacing w:before="240"/>
      <w:outlineLvl w:val="9"/>
    </w:pPr>
    <w:rPr>
      <w:noProof/>
      <w:sz w:val="24"/>
    </w:rPr>
  </w:style>
  <w:style w:type="paragraph" w:customStyle="1" w:styleId="MiniTOCItem">
    <w:name w:val="MiniTOCItem"/>
    <w:basedOn w:val="ListBullet"/>
    <w:rsid w:val="009621EC"/>
    <w:pPr>
      <w:numPr>
        <w:numId w:val="0"/>
      </w:numPr>
      <w:tabs>
        <w:tab w:val="right" w:leader="dot" w:pos="6521"/>
      </w:tabs>
      <w:spacing w:before="0" w:after="0"/>
    </w:pPr>
  </w:style>
  <w:style w:type="paragraph" w:customStyle="1" w:styleId="TOFTitle">
    <w:name w:val="TOFTitle"/>
    <w:basedOn w:val="TOCTitle"/>
    <w:rsid w:val="009621EC"/>
  </w:style>
  <w:style w:type="paragraph" w:styleId="TableofFigures">
    <w:name w:val="table of figures"/>
    <w:basedOn w:val="Normal"/>
    <w:next w:val="Normal"/>
    <w:semiHidden/>
    <w:rsid w:val="009621EC"/>
    <w:pPr>
      <w:tabs>
        <w:tab w:val="right" w:leader="dot" w:pos="9072"/>
      </w:tabs>
      <w:ind w:left="970" w:hanging="403"/>
    </w:pPr>
    <w:rPr>
      <w:rFonts w:ascii="Times New Roman" w:hAnsi="Times New Roman"/>
      <w:b/>
    </w:rPr>
  </w:style>
  <w:style w:type="paragraph" w:styleId="ListNumber">
    <w:name w:val="List Number"/>
    <w:basedOn w:val="List"/>
    <w:rsid w:val="009621EC"/>
    <w:pPr>
      <w:numPr>
        <w:numId w:val="15"/>
      </w:numPr>
      <w:tabs>
        <w:tab w:val="clear" w:pos="340"/>
      </w:tabs>
    </w:pPr>
  </w:style>
  <w:style w:type="character" w:customStyle="1" w:styleId="WingdingSymbols">
    <w:name w:val="Wingding Symbols"/>
    <w:rsid w:val="009621EC"/>
    <w:rPr>
      <w:rFonts w:ascii="Wingdings" w:hAnsi="Wingdings"/>
    </w:rPr>
  </w:style>
  <w:style w:type="paragraph" w:customStyle="1" w:styleId="TableHeading">
    <w:name w:val="Table Heading"/>
    <w:basedOn w:val="HeadingBase"/>
    <w:rsid w:val="009621EC"/>
    <w:pPr>
      <w:keepLines/>
      <w:pBdr>
        <w:bottom w:val="single" w:sz="6" w:space="1" w:color="918585"/>
      </w:pBdr>
      <w:spacing w:before="240"/>
    </w:pPr>
  </w:style>
  <w:style w:type="character" w:customStyle="1" w:styleId="HotSpot">
    <w:name w:val="HotSpot"/>
    <w:rsid w:val="009621EC"/>
    <w:rPr>
      <w:color w:val="0033CC"/>
      <w:u w:val="none"/>
    </w:rPr>
  </w:style>
  <w:style w:type="paragraph" w:customStyle="1" w:styleId="BodyTextRight">
    <w:name w:val="Body Text Right"/>
    <w:basedOn w:val="BodyText"/>
    <w:rsid w:val="009621EC"/>
    <w:pPr>
      <w:spacing w:before="0" w:after="0"/>
      <w:jc w:val="right"/>
    </w:pPr>
  </w:style>
  <w:style w:type="paragraph" w:styleId="Index3">
    <w:name w:val="index 3"/>
    <w:basedOn w:val="ListNumber2"/>
    <w:next w:val="Normal"/>
    <w:semiHidden/>
    <w:rsid w:val="009621EC"/>
    <w:pPr>
      <w:numPr>
        <w:numId w:val="0"/>
      </w:numPr>
      <w:tabs>
        <w:tab w:val="right" w:leader="dot" w:pos="4176"/>
      </w:tabs>
    </w:pPr>
  </w:style>
  <w:style w:type="paragraph" w:styleId="ListNumber2">
    <w:name w:val="List Number 2"/>
    <w:basedOn w:val="List2"/>
    <w:rsid w:val="009621EC"/>
    <w:pPr>
      <w:numPr>
        <w:numId w:val="10"/>
      </w:numPr>
      <w:tabs>
        <w:tab w:val="clear" w:pos="1060"/>
      </w:tabs>
    </w:pPr>
  </w:style>
  <w:style w:type="paragraph" w:customStyle="1" w:styleId="MarginNote">
    <w:name w:val="Margin Note"/>
    <w:basedOn w:val="BodyText"/>
    <w:rsid w:val="00962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1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1EC"/>
    <w:rPr>
      <w:sz w:val="32"/>
    </w:rPr>
  </w:style>
  <w:style w:type="paragraph" w:customStyle="1" w:styleId="HeadingProcedure">
    <w:name w:val="Heading Procedure"/>
    <w:basedOn w:val="HeadingBase"/>
    <w:next w:val="Normal"/>
    <w:rsid w:val="009621EC"/>
    <w:pPr>
      <w:tabs>
        <w:tab w:val="left" w:pos="0"/>
      </w:tabs>
      <w:spacing w:before="120" w:after="60"/>
    </w:pPr>
    <w:rPr>
      <w:i/>
      <w:color w:val="918585"/>
      <w:sz w:val="22"/>
    </w:rPr>
  </w:style>
  <w:style w:type="paragraph" w:customStyle="1" w:styleId="TableBodyText">
    <w:name w:val="Table Body Text"/>
    <w:basedOn w:val="BodyText"/>
    <w:rsid w:val="009621EC"/>
    <w:pPr>
      <w:spacing w:before="60" w:after="60"/>
    </w:pPr>
  </w:style>
  <w:style w:type="paragraph" w:styleId="ListContinue">
    <w:name w:val="List Continue"/>
    <w:basedOn w:val="List"/>
    <w:rsid w:val="009621EC"/>
    <w:pPr>
      <w:ind w:firstLine="0"/>
    </w:pPr>
  </w:style>
  <w:style w:type="paragraph" w:customStyle="1" w:styleId="ListNote">
    <w:name w:val="List Note"/>
    <w:basedOn w:val="List"/>
    <w:rsid w:val="009621EC"/>
    <w:pPr>
      <w:pBdr>
        <w:top w:val="single" w:sz="6" w:space="2" w:color="918585"/>
        <w:bottom w:val="single" w:sz="6" w:space="2" w:color="918585"/>
      </w:pBdr>
      <w:tabs>
        <w:tab w:val="left" w:pos="1021"/>
      </w:tabs>
      <w:ind w:firstLine="0"/>
    </w:pPr>
  </w:style>
  <w:style w:type="paragraph" w:customStyle="1" w:styleId="Warning">
    <w:name w:val="Warning"/>
    <w:basedOn w:val="BodyText"/>
    <w:rsid w:val="009621EC"/>
    <w:pPr>
      <w:shd w:val="clear" w:color="auto" w:fill="D9D9D9"/>
      <w:tabs>
        <w:tab w:val="left" w:pos="992"/>
      </w:tabs>
      <w:ind w:left="119" w:right="119"/>
    </w:pPr>
    <w:rPr>
      <w:sz w:val="20"/>
    </w:rPr>
  </w:style>
  <w:style w:type="paragraph" w:customStyle="1" w:styleId="MarginIcons">
    <w:name w:val="Margin Icons"/>
    <w:basedOn w:val="BodyText"/>
    <w:rsid w:val="009621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1EC"/>
    <w:rPr>
      <w:rFonts w:ascii="Courier New" w:hAnsi="Courier New"/>
    </w:rPr>
  </w:style>
  <w:style w:type="paragraph" w:customStyle="1" w:styleId="NoteBullet">
    <w:name w:val="Note Bullet"/>
    <w:basedOn w:val="Note"/>
    <w:rsid w:val="009621EC"/>
    <w:pPr>
      <w:tabs>
        <w:tab w:val="clear" w:pos="680"/>
      </w:tabs>
      <w:spacing w:before="60" w:after="60"/>
    </w:pPr>
  </w:style>
  <w:style w:type="paragraph" w:customStyle="1" w:styleId="SubHeading2">
    <w:name w:val="SubHeading2"/>
    <w:basedOn w:val="HeadingBase"/>
    <w:rsid w:val="009621EC"/>
    <w:pPr>
      <w:spacing w:before="240" w:after="60"/>
    </w:pPr>
    <w:rPr>
      <w:sz w:val="20"/>
    </w:rPr>
  </w:style>
  <w:style w:type="paragraph" w:customStyle="1" w:styleId="SubHeading1">
    <w:name w:val="SubHeading1"/>
    <w:basedOn w:val="HeadingBase"/>
    <w:rsid w:val="009621EC"/>
    <w:pPr>
      <w:spacing w:before="240" w:after="60"/>
    </w:pPr>
    <w:rPr>
      <w:color w:val="918585"/>
      <w:sz w:val="22"/>
    </w:rPr>
  </w:style>
  <w:style w:type="paragraph" w:customStyle="1" w:styleId="SideHeading">
    <w:name w:val="Side Heading"/>
    <w:basedOn w:val="HeadingBase"/>
    <w:rsid w:val="00962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1EC"/>
    <w:pPr>
      <w:tabs>
        <w:tab w:val="num" w:pos="360"/>
      </w:tabs>
    </w:pPr>
  </w:style>
  <w:style w:type="paragraph" w:styleId="PlainText">
    <w:name w:val="Plain Text"/>
    <w:basedOn w:val="Normal"/>
    <w:link w:val="PlainTextChar"/>
    <w:rsid w:val="009621EC"/>
    <w:rPr>
      <w:sz w:val="20"/>
    </w:rPr>
  </w:style>
  <w:style w:type="character" w:customStyle="1" w:styleId="PlainTextChar">
    <w:name w:val="Plain Text Char"/>
    <w:basedOn w:val="DefaultParagraphFont"/>
    <w:link w:val="PlainText"/>
    <w:rsid w:val="009621EC"/>
    <w:rPr>
      <w:rFonts w:ascii="Courier New" w:eastAsia="Times New Roman" w:hAnsi="Courier New" w:cs="Times New Roman"/>
      <w:sz w:val="20"/>
      <w:szCs w:val="20"/>
      <w:lang w:eastAsia="en-US"/>
    </w:rPr>
  </w:style>
  <w:style w:type="character" w:customStyle="1" w:styleId="MenuOption">
    <w:name w:val="Menu Option"/>
    <w:basedOn w:val="DefaultParagraphFont"/>
    <w:rsid w:val="009621EC"/>
    <w:rPr>
      <w:b/>
      <w:smallCaps/>
    </w:rPr>
  </w:style>
  <w:style w:type="paragraph" w:customStyle="1" w:styleId="TableListNumber">
    <w:name w:val="Table List Number"/>
    <w:basedOn w:val="ListNumber"/>
    <w:rsid w:val="009621EC"/>
    <w:pPr>
      <w:numPr>
        <w:numId w:val="0"/>
      </w:numPr>
    </w:pPr>
  </w:style>
  <w:style w:type="paragraph" w:styleId="TOC4">
    <w:name w:val="toc 4"/>
    <w:basedOn w:val="TOCBase"/>
    <w:next w:val="Normal"/>
    <w:semiHidden/>
    <w:rsid w:val="009621EC"/>
    <w:pPr>
      <w:tabs>
        <w:tab w:val="right" w:leader="dot" w:pos="9071"/>
      </w:tabs>
      <w:ind w:left="1701"/>
    </w:pPr>
  </w:style>
  <w:style w:type="paragraph" w:customStyle="1" w:styleId="ListAlpha">
    <w:name w:val="List Alpha"/>
    <w:basedOn w:val="List"/>
    <w:rsid w:val="009621EC"/>
    <w:pPr>
      <w:numPr>
        <w:numId w:val="9"/>
      </w:numPr>
    </w:pPr>
  </w:style>
  <w:style w:type="paragraph" w:customStyle="1" w:styleId="ListAlpha2">
    <w:name w:val="List Alpha 2"/>
    <w:basedOn w:val="List2"/>
    <w:rsid w:val="009621EC"/>
    <w:pPr>
      <w:numPr>
        <w:numId w:val="8"/>
      </w:numPr>
    </w:pPr>
  </w:style>
  <w:style w:type="paragraph" w:styleId="List2">
    <w:name w:val="List 2"/>
    <w:basedOn w:val="BodyText"/>
    <w:rsid w:val="009621EC"/>
    <w:pPr>
      <w:tabs>
        <w:tab w:val="left" w:pos="680"/>
      </w:tabs>
      <w:spacing w:before="60" w:after="60"/>
      <w:ind w:left="680" w:hanging="340"/>
    </w:pPr>
  </w:style>
  <w:style w:type="paragraph" w:styleId="List3">
    <w:name w:val="List 3"/>
    <w:basedOn w:val="BodyText"/>
    <w:rsid w:val="009621EC"/>
    <w:pPr>
      <w:tabs>
        <w:tab w:val="left" w:pos="1021"/>
      </w:tabs>
      <w:spacing w:before="60" w:after="60"/>
      <w:ind w:left="1020" w:hanging="340"/>
    </w:pPr>
  </w:style>
  <w:style w:type="paragraph" w:styleId="List4">
    <w:name w:val="List 4"/>
    <w:basedOn w:val="BodyText"/>
    <w:rsid w:val="009621EC"/>
    <w:pPr>
      <w:tabs>
        <w:tab w:val="left" w:pos="1361"/>
      </w:tabs>
      <w:spacing w:before="60" w:after="60"/>
      <w:ind w:left="1361" w:hanging="340"/>
    </w:pPr>
  </w:style>
  <w:style w:type="paragraph" w:styleId="List5">
    <w:name w:val="List 5"/>
    <w:basedOn w:val="BodyText"/>
    <w:rsid w:val="009621EC"/>
    <w:pPr>
      <w:tabs>
        <w:tab w:val="left" w:pos="1701"/>
      </w:tabs>
      <w:spacing w:before="60" w:after="60"/>
      <w:ind w:left="1701" w:hanging="340"/>
    </w:pPr>
  </w:style>
  <w:style w:type="paragraph" w:styleId="ListBullet3">
    <w:name w:val="List Bullet 3"/>
    <w:basedOn w:val="List3"/>
    <w:rsid w:val="009621EC"/>
    <w:pPr>
      <w:numPr>
        <w:numId w:val="14"/>
      </w:numPr>
      <w:tabs>
        <w:tab w:val="clear" w:pos="1021"/>
      </w:tabs>
      <w:ind w:left="1037" w:hanging="357"/>
    </w:pPr>
  </w:style>
  <w:style w:type="paragraph" w:styleId="ListBullet4">
    <w:name w:val="List Bullet 4"/>
    <w:basedOn w:val="List4"/>
    <w:rsid w:val="009621EC"/>
    <w:pPr>
      <w:numPr>
        <w:numId w:val="3"/>
      </w:numPr>
      <w:tabs>
        <w:tab w:val="clear" w:pos="1361"/>
      </w:tabs>
    </w:pPr>
  </w:style>
  <w:style w:type="paragraph" w:styleId="ListBullet5">
    <w:name w:val="List Bullet 5"/>
    <w:basedOn w:val="List5"/>
    <w:rsid w:val="009621EC"/>
    <w:pPr>
      <w:numPr>
        <w:numId w:val="4"/>
      </w:numPr>
    </w:pPr>
  </w:style>
  <w:style w:type="paragraph" w:styleId="ListContinue2">
    <w:name w:val="List Continue 2"/>
    <w:basedOn w:val="List2"/>
    <w:rsid w:val="009621EC"/>
    <w:pPr>
      <w:ind w:firstLine="0"/>
    </w:pPr>
  </w:style>
  <w:style w:type="paragraph" w:styleId="ListContinue3">
    <w:name w:val="List Continue 3"/>
    <w:basedOn w:val="List3"/>
    <w:rsid w:val="009621EC"/>
    <w:pPr>
      <w:ind w:left="1021" w:firstLine="0"/>
    </w:pPr>
  </w:style>
  <w:style w:type="paragraph" w:styleId="ListContinue4">
    <w:name w:val="List Continue 4"/>
    <w:basedOn w:val="List4"/>
    <w:rsid w:val="009621EC"/>
    <w:pPr>
      <w:ind w:firstLine="0"/>
    </w:pPr>
  </w:style>
  <w:style w:type="paragraph" w:styleId="ListContinue5">
    <w:name w:val="List Continue 5"/>
    <w:basedOn w:val="List5"/>
    <w:rsid w:val="009621EC"/>
    <w:pPr>
      <w:ind w:firstLine="0"/>
    </w:pPr>
  </w:style>
  <w:style w:type="paragraph" w:styleId="ListNumber3">
    <w:name w:val="List Number 3"/>
    <w:basedOn w:val="List3"/>
    <w:rsid w:val="009621EC"/>
    <w:pPr>
      <w:numPr>
        <w:numId w:val="5"/>
      </w:numPr>
    </w:pPr>
  </w:style>
  <w:style w:type="paragraph" w:styleId="ListNumber4">
    <w:name w:val="List Number 4"/>
    <w:basedOn w:val="List4"/>
    <w:rsid w:val="009621EC"/>
    <w:pPr>
      <w:numPr>
        <w:numId w:val="6"/>
      </w:numPr>
    </w:pPr>
  </w:style>
  <w:style w:type="paragraph" w:styleId="ListNumber5">
    <w:name w:val="List Number 5"/>
    <w:basedOn w:val="List5"/>
    <w:rsid w:val="009621EC"/>
    <w:pPr>
      <w:numPr>
        <w:numId w:val="7"/>
      </w:numPr>
    </w:pPr>
  </w:style>
  <w:style w:type="paragraph" w:styleId="BlockText">
    <w:name w:val="Block Text"/>
    <w:basedOn w:val="Normal"/>
    <w:rsid w:val="009621EC"/>
    <w:pPr>
      <w:spacing w:after="120"/>
      <w:ind w:left="1440" w:right="1440"/>
    </w:pPr>
  </w:style>
  <w:style w:type="character" w:customStyle="1" w:styleId="Subscript">
    <w:name w:val="Subscript"/>
    <w:basedOn w:val="DefaultParagraphFont"/>
    <w:rsid w:val="009621EC"/>
    <w:rPr>
      <w:sz w:val="16"/>
      <w:vertAlign w:val="subscript"/>
    </w:rPr>
  </w:style>
  <w:style w:type="character" w:customStyle="1" w:styleId="Superscript">
    <w:name w:val="Superscript"/>
    <w:basedOn w:val="DefaultParagraphFont"/>
    <w:rsid w:val="009621EC"/>
    <w:rPr>
      <w:sz w:val="16"/>
      <w:vertAlign w:val="superscript"/>
    </w:rPr>
  </w:style>
  <w:style w:type="character" w:customStyle="1" w:styleId="Symbols">
    <w:name w:val="Symbols"/>
    <w:basedOn w:val="DefaultParagraphFont"/>
    <w:rsid w:val="009621EC"/>
    <w:rPr>
      <w:rFonts w:ascii="Symbol" w:hAnsi="Symbol"/>
    </w:rPr>
  </w:style>
  <w:style w:type="character" w:customStyle="1" w:styleId="MenuOptions">
    <w:name w:val="Menu Options"/>
    <w:basedOn w:val="DefaultParagraphFont"/>
    <w:rsid w:val="009621EC"/>
    <w:rPr>
      <w:rFonts w:ascii="Arial Narrow" w:hAnsi="Arial Narrow"/>
      <w:smallCaps/>
    </w:rPr>
  </w:style>
  <w:style w:type="character" w:customStyle="1" w:styleId="Buttons">
    <w:name w:val="Buttons"/>
    <w:basedOn w:val="DefaultParagraphFont"/>
    <w:rsid w:val="009621EC"/>
    <w:rPr>
      <w:b/>
    </w:rPr>
  </w:style>
  <w:style w:type="character" w:customStyle="1" w:styleId="Underlined">
    <w:name w:val="Underlined"/>
    <w:basedOn w:val="DefaultParagraphFont"/>
    <w:rsid w:val="009621EC"/>
    <w:rPr>
      <w:u w:val="single"/>
    </w:rPr>
  </w:style>
  <w:style w:type="paragraph" w:customStyle="1" w:styleId="TableBodyTextRight">
    <w:name w:val="Table Body Text Right"/>
    <w:basedOn w:val="TableBodyText"/>
    <w:rsid w:val="009621EC"/>
    <w:pPr>
      <w:widowControl w:val="0"/>
      <w:autoSpaceDE w:val="0"/>
      <w:autoSpaceDN w:val="0"/>
      <w:adjustRightInd w:val="0"/>
      <w:jc w:val="right"/>
    </w:pPr>
    <w:rPr>
      <w:rFonts w:cs="Arial"/>
      <w:szCs w:val="18"/>
    </w:rPr>
  </w:style>
  <w:style w:type="paragraph" w:customStyle="1" w:styleId="CopyrightText">
    <w:name w:val="Copyright Text"/>
    <w:basedOn w:val="BodyText"/>
    <w:rsid w:val="009621EC"/>
    <w:rPr>
      <w:sz w:val="18"/>
    </w:rPr>
  </w:style>
  <w:style w:type="paragraph" w:customStyle="1" w:styleId="BodySmallRight">
    <w:name w:val="Body Small Right"/>
    <w:basedOn w:val="BodyTextRight"/>
    <w:rsid w:val="009621EC"/>
    <w:rPr>
      <w:sz w:val="18"/>
      <w:szCs w:val="18"/>
    </w:rPr>
  </w:style>
  <w:style w:type="paragraph" w:customStyle="1" w:styleId="MarginEdition">
    <w:name w:val="Margin Edition"/>
    <w:basedOn w:val="MarginNote"/>
    <w:rsid w:val="009621EC"/>
    <w:pPr>
      <w:spacing w:before="0" w:after="0"/>
    </w:pPr>
    <w:rPr>
      <w:rFonts w:ascii="Times New Roman" w:hAnsi="Times New Roman"/>
      <w:color w:val="999999"/>
    </w:rPr>
  </w:style>
  <w:style w:type="paragraph" w:customStyle="1" w:styleId="Spacer">
    <w:name w:val="Spacer"/>
    <w:basedOn w:val="Normal"/>
    <w:rsid w:val="009621EC"/>
    <w:rPr>
      <w:sz w:val="2"/>
      <w:szCs w:val="2"/>
    </w:rPr>
  </w:style>
  <w:style w:type="character" w:customStyle="1" w:styleId="Small">
    <w:name w:val="Small"/>
    <w:basedOn w:val="DefaultParagraphFont"/>
    <w:rsid w:val="009621EC"/>
    <w:rPr>
      <w:sz w:val="16"/>
    </w:rPr>
  </w:style>
  <w:style w:type="paragraph" w:customStyle="1" w:styleId="WideTable">
    <w:name w:val="Wide Table"/>
    <w:basedOn w:val="Normal"/>
    <w:rsid w:val="009621EC"/>
    <w:pPr>
      <w:ind w:left="-1418"/>
    </w:pPr>
    <w:rPr>
      <w:sz w:val="2"/>
      <w:szCs w:val="2"/>
    </w:rPr>
  </w:style>
  <w:style w:type="character" w:styleId="PageNumber">
    <w:name w:val="page number"/>
    <w:basedOn w:val="DefaultParagraphFont"/>
    <w:rsid w:val="009621EC"/>
  </w:style>
  <w:style w:type="paragraph" w:styleId="Quote">
    <w:name w:val="Quote"/>
    <w:basedOn w:val="Heading1"/>
    <w:link w:val="QuoteChar"/>
    <w:qFormat/>
    <w:rsid w:val="009621EC"/>
    <w:rPr>
      <w:b w:val="0"/>
      <w:sz w:val="72"/>
      <w:szCs w:val="72"/>
      <w:lang w:val="en-NZ"/>
    </w:rPr>
  </w:style>
  <w:style w:type="character" w:customStyle="1" w:styleId="QuoteChar">
    <w:name w:val="Quote Char"/>
    <w:basedOn w:val="DefaultParagraphFont"/>
    <w:link w:val="Quote"/>
    <w:rsid w:val="00962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1EC"/>
    <w:pPr>
      <w:pageBreakBefore/>
    </w:pPr>
  </w:style>
  <w:style w:type="paragraph" w:customStyle="1" w:styleId="Border">
    <w:name w:val="Border"/>
    <w:basedOn w:val="Normal"/>
    <w:qFormat/>
    <w:rsid w:val="009621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1EC"/>
    <w:rPr>
      <w:b/>
      <w:bCs/>
      <w:i/>
      <w:iCs/>
      <w:color w:val="auto"/>
    </w:rPr>
  </w:style>
  <w:style w:type="paragraph" w:styleId="IntenseQuote">
    <w:name w:val="Intense Quote"/>
    <w:basedOn w:val="Normal"/>
    <w:next w:val="Normal"/>
    <w:link w:val="IntenseQuoteChar"/>
    <w:uiPriority w:val="30"/>
    <w:qFormat/>
    <w:rsid w:val="009621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1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1EC"/>
    <w:rPr>
      <w:smallCaps/>
      <w:color w:val="auto"/>
      <w:u w:val="single"/>
    </w:rPr>
  </w:style>
  <w:style w:type="character" w:styleId="IntenseReference">
    <w:name w:val="Intense Reference"/>
    <w:basedOn w:val="DefaultParagraphFont"/>
    <w:uiPriority w:val="32"/>
    <w:qFormat/>
    <w:rsid w:val="009621EC"/>
    <w:rPr>
      <w:b/>
      <w:bCs/>
      <w:smallCaps/>
      <w:color w:val="auto"/>
      <w:spacing w:val="5"/>
      <w:u w:val="single"/>
    </w:rPr>
  </w:style>
  <w:style w:type="paragraph" w:customStyle="1" w:styleId="2ColumnHeading">
    <w:name w:val="2Column Heading"/>
    <w:basedOn w:val="BodyText"/>
    <w:qFormat/>
    <w:rsid w:val="009621EC"/>
    <w:pPr>
      <w:spacing w:after="60"/>
      <w:ind w:left="-2268"/>
    </w:pPr>
    <w:rPr>
      <w:b/>
    </w:rPr>
  </w:style>
  <w:style w:type="paragraph" w:customStyle="1" w:styleId="Heading1TOC">
    <w:name w:val="Heading1 TOC"/>
    <w:basedOn w:val="Normal"/>
    <w:qFormat/>
    <w:rsid w:val="009621EC"/>
    <w:pPr>
      <w:spacing w:before="240" w:after="120"/>
    </w:pPr>
    <w:rPr>
      <w:rFonts w:ascii="Times New Roman" w:hAnsi="Times New Roman"/>
      <w:b/>
      <w:sz w:val="32"/>
    </w:rPr>
  </w:style>
  <w:style w:type="paragraph" w:customStyle="1" w:styleId="Heading2TOC">
    <w:name w:val="Heading2 TOC"/>
    <w:basedOn w:val="Normal"/>
    <w:qFormat/>
    <w:rsid w:val="009621EC"/>
    <w:pPr>
      <w:spacing w:before="240" w:after="60"/>
    </w:pPr>
    <w:rPr>
      <w:rFonts w:ascii="Times New Roman" w:hAnsi="Times New Roman"/>
      <w:b/>
      <w:sz w:val="28"/>
    </w:rPr>
  </w:style>
  <w:style w:type="character" w:customStyle="1" w:styleId="Underline">
    <w:name w:val="Underline"/>
    <w:basedOn w:val="DefaultParagraphFont"/>
    <w:qFormat/>
    <w:rsid w:val="009621EC"/>
    <w:rPr>
      <w:u w:val="single"/>
    </w:rPr>
  </w:style>
  <w:style w:type="character" w:customStyle="1" w:styleId="BoldandItalics">
    <w:name w:val="Bold and Italics"/>
    <w:qFormat/>
    <w:rsid w:val="009621EC"/>
    <w:rPr>
      <w:b/>
      <w:i/>
      <w:u w:val="none"/>
    </w:rPr>
  </w:style>
  <w:style w:type="paragraph" w:styleId="BalloonText">
    <w:name w:val="Balloon Text"/>
    <w:basedOn w:val="Normal"/>
    <w:link w:val="BalloonTextChar"/>
    <w:rsid w:val="009621EC"/>
    <w:rPr>
      <w:rFonts w:ascii="Tahoma" w:hAnsi="Tahoma" w:cs="Tahoma"/>
      <w:sz w:val="16"/>
      <w:szCs w:val="16"/>
    </w:rPr>
  </w:style>
  <w:style w:type="character" w:customStyle="1" w:styleId="BalloonTextChar">
    <w:name w:val="Balloon Text Char"/>
    <w:basedOn w:val="DefaultParagraphFont"/>
    <w:link w:val="BalloonText"/>
    <w:rsid w:val="009621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1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1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1EC"/>
    <w:rPr>
      <w:b/>
      <w:color w:val="660033"/>
      <w:spacing w:val="0"/>
    </w:rPr>
  </w:style>
  <w:style w:type="paragraph" w:customStyle="1" w:styleId="Nameditemlist">
    <w:name w:val="Named item list"/>
    <w:basedOn w:val="BodyText"/>
    <w:qFormat/>
    <w:rsid w:val="009621EC"/>
    <w:pPr>
      <w:tabs>
        <w:tab w:val="left" w:pos="2835"/>
      </w:tabs>
      <w:ind w:left="2835" w:hanging="2835"/>
    </w:pPr>
  </w:style>
  <w:style w:type="paragraph" w:customStyle="1" w:styleId="BodyTextnopadding">
    <w:name w:val="Body Text no padding"/>
    <w:basedOn w:val="BodyText"/>
    <w:qFormat/>
    <w:rsid w:val="009621EC"/>
    <w:pPr>
      <w:spacing w:before="0" w:after="0"/>
    </w:pPr>
  </w:style>
  <w:style w:type="paragraph" w:customStyle="1" w:styleId="BodyTextBold">
    <w:name w:val="Body Text Bold"/>
    <w:basedOn w:val="BodyText"/>
    <w:qFormat/>
    <w:rsid w:val="009621EC"/>
    <w:rPr>
      <w:b/>
    </w:rPr>
  </w:style>
  <w:style w:type="character" w:styleId="Hyperlink">
    <w:name w:val="Hyperlink"/>
    <w:basedOn w:val="DefaultParagraphFont"/>
    <w:uiPriority w:val="99"/>
    <w:unhideWhenUsed/>
    <w:rsid w:val="001D1A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6103</Characters>
  <Application>Microsoft Office Word</Application>
  <DocSecurity>0</DocSecurity>
  <Lines>196</Lines>
  <Paragraphs>108</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MEM13006 Collect and evaluate work health and safety data for an enterprise or section of an enterprise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