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398" w:rsidP="00062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MEM13004 Work safely with molten metals/glass</w:t>
      </w:r>
      <w:r>
        <w:fldChar w:fldCharType="end"/>
      </w:r>
    </w:p>
    <w:p w:rsidR="00062398" w:rsidP="00062398">
      <w:pPr>
        <w:pStyle w:val="Version"/>
        <w:sectPr w:rsidSect="00C95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ED2" w:rsidP="00C95ED2">
      <w:pPr>
        <w:pStyle w:val="SuperHeading"/>
      </w:pPr>
      <w:r w:rsidRPr="00C95ED2">
        <w:t>MEM13004 Work safely with molten metals/glass</w:t>
      </w:r>
    </w:p>
    <w:p w:rsidR="00000000" w:rsidRPr="00C95ED2" w:rsidP="00C95ED2">
      <w:pPr>
        <w:pStyle w:val="Heading1"/>
      </w:pPr>
      <w:bookmarkStart w:id="1" w:name="O_949014"/>
      <w:bookmarkEnd w:id="1"/>
      <w:r w:rsidRPr="00C95ED2">
        <w:t>Modification History</w:t>
      </w:r>
    </w:p>
    <w:p w:rsidR="00000000" w:rsidRPr="00C95ED2" w:rsidP="00062398">
      <w:pPr>
        <w:pStyle w:val="BodyText"/>
      </w:pPr>
      <w:r w:rsidRPr="00C95ED2">
        <w:t>Supersedes and is equivalent to MEM13004B Work safely with molten metals/glass</w:t>
      </w:r>
    </w:p>
    <w:p w:rsidR="00000000" w:rsidRPr="00C95ED2" w:rsidP="00C95ED2">
      <w:pPr>
        <w:pStyle w:val="Heading1"/>
      </w:pPr>
      <w:bookmarkStart w:id="2" w:name="O_949022"/>
      <w:bookmarkEnd w:id="2"/>
      <w:r w:rsidRPr="00C95ED2">
        <w:t>Application</w:t>
      </w:r>
    </w:p>
    <w:p w:rsidR="00000000" w:rsidRPr="00C95ED2" w:rsidP="00062398">
      <w:pPr>
        <w:pStyle w:val="BodyText"/>
      </w:pPr>
      <w:r w:rsidRPr="00C95ED2">
        <w:t xml:space="preserve">This unit of competency defines the skills and knowledge required to work safely in a heavy engineering environment in </w:t>
      </w:r>
      <w:r w:rsidRPr="00C95ED2">
        <w:t xml:space="preserve">which there are molten metals or glass, for example, in foundries, die casting operations, glass or molten glass operations and explosives manufacture. </w:t>
      </w:r>
    </w:p>
    <w:p w:rsidR="00000000" w:rsidRPr="00C95ED2" w:rsidP="00062398">
      <w:pPr>
        <w:pStyle w:val="BodyText"/>
      </w:pPr>
      <w:r w:rsidRPr="00C95ED2">
        <w:t>Evidence of competency is to encompass the satisfactory application of any current state/territory wor</w:t>
      </w:r>
      <w:r w:rsidRPr="00C95ED2">
        <w:t>k health and safety (WHS) legislation, standards and codes of practice, and the hierarchy of hazard control measures.</w:t>
      </w:r>
    </w:p>
    <w:p w:rsidR="00000000" w:rsidRPr="00C95ED2" w:rsidP="00062398">
      <w:pPr>
        <w:pStyle w:val="BodyText"/>
      </w:pPr>
      <w:r w:rsidRPr="00C95ED2">
        <w:t>Where the selection and use of engineering measurement is required unit MEM12023 Perform engineering measurements should also be selected</w:t>
      </w:r>
      <w:r w:rsidRPr="00C95ED2">
        <w:t>.</w:t>
      </w:r>
    </w:p>
    <w:p w:rsidR="00000000" w:rsidRPr="00C95ED2" w:rsidP="00062398">
      <w:pPr>
        <w:pStyle w:val="BodyText"/>
      </w:pPr>
      <w:r w:rsidRPr="00C95ED2">
        <w:t>No licensing, legislative or certification requirements apply to this unit at the time of publication.</w:t>
      </w:r>
    </w:p>
    <w:p w:rsidR="00000000" w:rsidRPr="00C95ED2" w:rsidP="00C95ED2">
      <w:pPr>
        <w:pStyle w:val="BodyText"/>
      </w:pPr>
      <w:r w:rsidRPr="00C95ED2">
        <w:rPr>
          <w:rStyle w:val="SpecialBold"/>
        </w:rPr>
        <w:t>Band</w:t>
      </w:r>
      <w:r w:rsidRPr="00C95ED2">
        <w:t>:</w:t>
      </w:r>
      <w:r w:rsidRPr="00C95ED2">
        <w:tab/>
      </w:r>
      <w:r w:rsidRPr="00C95ED2">
        <w:rPr>
          <w:rStyle w:val="SpecialBold"/>
        </w:rPr>
        <w:t>A</w:t>
      </w:r>
    </w:p>
    <w:p w:rsidR="00000000" w:rsidRPr="00C95ED2" w:rsidP="00C95ED2">
      <w:pPr>
        <w:pStyle w:val="BodyText"/>
      </w:pPr>
      <w:r w:rsidRPr="00C95ED2">
        <w:rPr>
          <w:rStyle w:val="SpecialBold"/>
        </w:rPr>
        <w:t>Unit Weight</w:t>
      </w:r>
      <w:r w:rsidRPr="00C95ED2">
        <w:t>:</w:t>
      </w:r>
      <w:r w:rsidRPr="00C95ED2">
        <w:tab/>
      </w:r>
      <w:r w:rsidRPr="00C95ED2">
        <w:rPr>
          <w:rStyle w:val="SpecialBold"/>
        </w:rPr>
        <w:t>2</w:t>
      </w:r>
    </w:p>
    <w:p w:rsidR="00000000" w:rsidRPr="00C95ED2" w:rsidP="00C95ED2">
      <w:pPr>
        <w:pStyle w:val="AllowPageBreak"/>
      </w:pPr>
    </w:p>
    <w:p w:rsidR="00000000" w:rsidRPr="00C95ED2" w:rsidP="00C95ED2">
      <w:pPr>
        <w:pStyle w:val="Heading1"/>
      </w:pPr>
      <w:bookmarkStart w:id="3" w:name="O_949021"/>
      <w:bookmarkEnd w:id="3"/>
      <w:r w:rsidRPr="00C95ED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6378"/>
      </w:tblGrid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MEM11011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Undertake manual handling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MEM13015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 xml:space="preserve">Work safely and effectively in manufacturing </w:t>
            </w:r>
            <w:r w:rsidRPr="00C95ED2">
              <w:t>and engineering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MEM16006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BodyText"/>
            </w:pPr>
            <w:r w:rsidRPr="00C95ED2">
              <w:t>Organise and communicate information</w:t>
            </w:r>
          </w:p>
        </w:tc>
      </w:tr>
    </w:tbl>
    <w:p w:rsidR="00000000" w:rsidRPr="00C95ED2" w:rsidP="00C95ED2">
      <w:pPr>
        <w:pStyle w:val="BodyText"/>
      </w:pPr>
    </w:p>
    <w:p w:rsidR="00000000" w:rsidRPr="00C95ED2" w:rsidP="00C95ED2">
      <w:pPr>
        <w:pStyle w:val="AllowPageBreak"/>
      </w:pPr>
    </w:p>
    <w:p w:rsidR="00000000" w:rsidRPr="00C95ED2" w:rsidP="00C95ED2">
      <w:pPr>
        <w:pStyle w:val="Heading1"/>
      </w:pPr>
      <w:bookmarkStart w:id="4" w:name="O_949020"/>
      <w:bookmarkEnd w:id="4"/>
      <w:r w:rsidRPr="00C95ED2">
        <w:t>Competency Field</w:t>
      </w:r>
    </w:p>
    <w:p w:rsidR="00000000" w:rsidRPr="00C95ED2" w:rsidP="00062398">
      <w:pPr>
        <w:pStyle w:val="BodyText"/>
      </w:pPr>
      <w:r w:rsidRPr="00C95ED2">
        <w:t>Work health and safety</w:t>
      </w:r>
    </w:p>
    <w:p w:rsidR="00000000" w:rsidRPr="00C95ED2" w:rsidP="00C95ED2">
      <w:pPr>
        <w:pStyle w:val="Heading1"/>
      </w:pPr>
      <w:bookmarkStart w:id="5" w:name="O_949018"/>
      <w:bookmarkEnd w:id="5"/>
      <w:r w:rsidRPr="00C95E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Performance criteria describe the performance needed to demonstrate achievement of the element.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BodyText"/>
            </w:pPr>
            <w:r w:rsidRPr="00C95ED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Follow standard operating procedures (SOPs)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Comply with work health and safety (WHS) requirements at all times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Identify job requirements from specifications, job sheets or work instructions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BodyText"/>
            </w:pPr>
            <w:r w:rsidRPr="00C95ED2"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rPr>
                <w:rStyle w:val="SpecialBold"/>
              </w:rPr>
              <w:t>Use personal protective equipment (PPE)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 xml:space="preserve">Select correct and appropriate PPE and use correctly based on WHS information relating to specific hazards 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BodyText"/>
            </w:pPr>
            <w:r w:rsidRPr="00C95ED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rPr>
                <w:rStyle w:val="SpecialBold"/>
              </w:rPr>
              <w:t>Adhere to emergency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Locate emergency equipment and use in accordance with workplace policies and SOPs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Demonstrate responses to emergency procedures as detailed in approved safety procedures and instructions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BodyText"/>
            </w:pPr>
            <w:r w:rsidRPr="00C95ED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rPr>
                <w:rStyle w:val="SpecialBold"/>
              </w:rPr>
              <w:t>Identify, assess and control hazardous conditions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Identify and report hazards and undertake planning to maintain a healthy and safe work environment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Follow workplace procedures and work instructions for controlling risks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BodyText"/>
            </w:pPr>
            <w:r w:rsidRPr="00C95ED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rPr>
                <w:rStyle w:val="SpecialBold"/>
              </w:rPr>
              <w:t>Observe safe working practices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Identify hazardous areas and materials associated with molten metals or glass and identify potential risks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Identify and understand safety signs and symbols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Inspect PPE and maintain in good order and store for reuse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 xml:space="preserve">Identify, remove, assess and control hazardous items associated with task from hot material area, if required </w:t>
            </w:r>
          </w:p>
        </w:tc>
      </w:tr>
      <w:tr w:rsidTr="00C95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BodyText"/>
            </w:pPr>
            <w:r w:rsidRPr="00C95ED2">
              <w:t>Perform housekeeping duties to maintain a safe working environment accor</w:t>
            </w:r>
            <w:r w:rsidRPr="00C95ED2">
              <w:t>ding to SOPs</w:t>
            </w:r>
          </w:p>
          <w:p w:rsidR="00000000" w:rsidRPr="00C95ED2" w:rsidP="00C95ED2">
            <w:pPr>
              <w:pStyle w:val="BodyText"/>
            </w:pPr>
          </w:p>
        </w:tc>
      </w:tr>
    </w:tbl>
    <w:p w:rsidR="00000000" w:rsidRPr="00C95ED2" w:rsidP="00C95ED2">
      <w:pPr>
        <w:pStyle w:val="BodyText"/>
      </w:pPr>
    </w:p>
    <w:p w:rsidR="00000000" w:rsidRPr="00C95ED2" w:rsidP="00C95ED2">
      <w:pPr>
        <w:pStyle w:val="AllowPageBreak"/>
      </w:pPr>
    </w:p>
    <w:p w:rsidR="00000000" w:rsidRPr="00C95ED2" w:rsidP="00C95ED2">
      <w:pPr>
        <w:pStyle w:val="Heading1"/>
      </w:pPr>
      <w:bookmarkStart w:id="6" w:name="O_949017"/>
      <w:bookmarkEnd w:id="6"/>
      <w:r w:rsidRPr="00C95ED2">
        <w:t>Foundation Skills</w:t>
      </w:r>
    </w:p>
    <w:p w:rsidR="00000000" w:rsidRPr="00C95ED2" w:rsidP="00062398">
      <w:pPr>
        <w:pStyle w:val="BodyText"/>
      </w:pPr>
      <w:r w:rsidRPr="00C95ED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95ED2" w:rsidP="00062398">
      <w:pPr>
        <w:pStyle w:val="BodyText"/>
      </w:pPr>
      <w:r w:rsidRPr="00C95ED2">
        <w:t>Foundation skills essential to performance are explicit in the performance criteria of this unit of competency.</w:t>
      </w:r>
    </w:p>
    <w:p w:rsidR="00000000" w:rsidRPr="00C95ED2" w:rsidP="00C95ED2">
      <w:pPr>
        <w:pStyle w:val="Heading1"/>
      </w:pPr>
      <w:bookmarkStart w:id="7" w:name="O_949016"/>
      <w:bookmarkEnd w:id="7"/>
      <w:r w:rsidRPr="00C95ED2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C95E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t>This field allows for different work environments and conditions that may affect performance. Essential ope</w:t>
            </w:r>
            <w:r w:rsidRPr="00C95ED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95E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rPr>
                <w:rStyle w:val="SpecialBold"/>
              </w:rPr>
              <w:t>Hierarchy of control measures include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BodyText"/>
            </w:pPr>
            <w:r w:rsidRPr="00C95ED2">
              <w:t>The application of the</w:t>
            </w:r>
            <w:r w:rsidRPr="00C95ED2">
              <w:t xml:space="preserve"> hierarchy of control follows the six-step preference of control measures to manage and control risk: </w:t>
            </w:r>
          </w:p>
          <w:p w:rsidR="00000000" w:rsidRPr="00C95ED2" w:rsidP="00C95ED2">
            <w:pPr>
              <w:pStyle w:val="List2"/>
            </w:pPr>
            <w:r w:rsidRPr="00C95ED2">
              <w:rPr>
                <w:rStyle w:val="SpecialBold"/>
              </w:rPr>
              <w:t>1</w:t>
            </w:r>
            <w:r w:rsidRPr="00C95ED2">
              <w:t>. elimination</w:t>
            </w:r>
          </w:p>
          <w:p w:rsidR="00000000" w:rsidRPr="00C95ED2" w:rsidP="00C95ED2">
            <w:pPr>
              <w:pStyle w:val="List2"/>
            </w:pPr>
            <w:r w:rsidRPr="00C95ED2">
              <w:rPr>
                <w:rStyle w:val="SpecialBold"/>
              </w:rPr>
              <w:t xml:space="preserve">2. </w:t>
            </w:r>
            <w:r w:rsidRPr="00C95ED2">
              <w:t xml:space="preserve">substitution </w:t>
            </w:r>
          </w:p>
          <w:p w:rsidR="00000000" w:rsidRPr="00C95ED2" w:rsidP="00C95ED2">
            <w:pPr>
              <w:pStyle w:val="List2"/>
            </w:pPr>
            <w:r w:rsidRPr="00C95ED2">
              <w:rPr>
                <w:rStyle w:val="SpecialBold"/>
              </w:rPr>
              <w:t xml:space="preserve">3. </w:t>
            </w:r>
            <w:r w:rsidRPr="00C95ED2">
              <w:t xml:space="preserve">isolation </w:t>
            </w:r>
          </w:p>
          <w:p w:rsidR="00000000" w:rsidRPr="00C95ED2" w:rsidP="00C95ED2">
            <w:pPr>
              <w:pStyle w:val="List2"/>
            </w:pPr>
            <w:r w:rsidRPr="00C95ED2">
              <w:rPr>
                <w:rStyle w:val="SpecialBold"/>
              </w:rPr>
              <w:t xml:space="preserve">4. </w:t>
            </w:r>
            <w:r w:rsidRPr="00C95ED2">
              <w:t>engineering control measures</w:t>
            </w:r>
            <w:r w:rsidRPr="00C95ED2">
              <w:rPr>
                <w:rStyle w:val="SpecialBold"/>
              </w:rPr>
              <w:t xml:space="preserve"> </w:t>
            </w:r>
          </w:p>
          <w:p w:rsidR="00000000" w:rsidRPr="00C95ED2" w:rsidP="00C95ED2">
            <w:pPr>
              <w:pStyle w:val="List2"/>
            </w:pPr>
            <w:r w:rsidRPr="00C95ED2">
              <w:rPr>
                <w:rStyle w:val="SpecialBold"/>
              </w:rPr>
              <w:t xml:space="preserve">5. </w:t>
            </w:r>
            <w:r w:rsidRPr="00C95ED2">
              <w:t>using safe work practices</w:t>
            </w:r>
            <w:r w:rsidRPr="00C95ED2">
              <w:rPr>
                <w:rStyle w:val="SpecialBold"/>
              </w:rPr>
              <w:t xml:space="preserve"> </w:t>
            </w:r>
          </w:p>
          <w:p w:rsidR="00000000" w:rsidRPr="00C95ED2" w:rsidP="00C95ED2">
            <w:pPr>
              <w:pStyle w:val="List2"/>
            </w:pPr>
            <w:r w:rsidRPr="00C95ED2">
              <w:rPr>
                <w:rStyle w:val="SpecialBold"/>
              </w:rPr>
              <w:t>6.</w:t>
            </w:r>
            <w:r w:rsidRPr="00C95ED2">
              <w:t xml:space="preserve"> personal protective equipment (PPE)</w:t>
            </w:r>
          </w:p>
          <w:p w:rsidR="00000000" w:rsidP="00C95ED2">
            <w:pPr>
              <w:pStyle w:val="BodyText"/>
              <w:rPr>
                <w:lang w:val="en-NZ"/>
              </w:rPr>
            </w:pPr>
          </w:p>
        </w:tc>
      </w:tr>
      <w:tr w:rsidTr="00C95E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ListBullet"/>
            </w:pPr>
            <w:r w:rsidRPr="00C95ED2">
              <w:t>face protection</w:t>
            </w:r>
          </w:p>
          <w:p w:rsidR="00000000" w:rsidRPr="00C95ED2" w:rsidP="00C95ED2">
            <w:pPr>
              <w:pStyle w:val="ListBullet"/>
            </w:pPr>
            <w:r w:rsidRPr="00C95ED2">
              <w:t>eye protection</w:t>
            </w:r>
          </w:p>
          <w:p w:rsidR="00000000" w:rsidRPr="00C95ED2" w:rsidP="00C95ED2">
            <w:pPr>
              <w:pStyle w:val="ListBullet"/>
            </w:pPr>
            <w:r w:rsidRPr="00C95ED2">
              <w:t>respiratory protection</w:t>
            </w:r>
          </w:p>
          <w:p w:rsidR="00000000" w:rsidRPr="00C95ED2" w:rsidP="00C95ED2">
            <w:pPr>
              <w:pStyle w:val="ListBullet"/>
            </w:pPr>
            <w:r w:rsidRPr="00C95ED2">
              <w:t xml:space="preserve">hearing protection </w:t>
            </w:r>
          </w:p>
          <w:p w:rsidR="00000000" w:rsidRPr="00C95ED2" w:rsidP="00C95ED2">
            <w:pPr>
              <w:pStyle w:val="ListBullet"/>
            </w:pPr>
            <w:r w:rsidRPr="00C95ED2">
              <w:t>hand protection</w:t>
            </w:r>
          </w:p>
          <w:p w:rsidR="00000000" w:rsidRPr="00C95ED2" w:rsidP="00C95ED2">
            <w:pPr>
              <w:pStyle w:val="ListBullet"/>
            </w:pPr>
            <w:r w:rsidRPr="00C95ED2">
              <w:t>clothing and footwear protection</w:t>
            </w:r>
          </w:p>
          <w:p w:rsidR="00000000" w:rsidP="00C95ED2">
            <w:pPr>
              <w:pStyle w:val="BodyText"/>
              <w:rPr>
                <w:lang w:val="en-NZ"/>
              </w:rPr>
            </w:pPr>
          </w:p>
        </w:tc>
      </w:tr>
      <w:tr w:rsidTr="00C95E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D2">
            <w:pPr>
              <w:pStyle w:val="BodyText"/>
              <w:rPr>
                <w:lang w:val="en-NZ"/>
              </w:rPr>
            </w:pPr>
            <w:r w:rsidRPr="00C95ED2">
              <w:rPr>
                <w:rStyle w:val="SpecialBold"/>
              </w:rPr>
              <w:t>Hazardous material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D2" w:rsidP="00C95ED2">
            <w:pPr>
              <w:pStyle w:val="ListBullet"/>
            </w:pPr>
            <w:r w:rsidRPr="00C95ED2">
              <w:t>hot material</w:t>
            </w:r>
          </w:p>
          <w:p w:rsidR="00000000" w:rsidRPr="00C95ED2" w:rsidP="00C95ED2">
            <w:pPr>
              <w:pStyle w:val="ListBullet"/>
            </w:pPr>
            <w:r w:rsidRPr="00C95ED2">
              <w:t xml:space="preserve">molten </w:t>
            </w:r>
            <w:r w:rsidRPr="00C95ED2">
              <w:t xml:space="preserve">metals </w:t>
            </w:r>
          </w:p>
          <w:p w:rsidR="00000000" w:rsidRPr="00C95ED2" w:rsidP="00C95ED2">
            <w:pPr>
              <w:pStyle w:val="ListBullet"/>
            </w:pPr>
            <w:r w:rsidRPr="00C95ED2">
              <w:t xml:space="preserve">molten glass and associated products </w:t>
            </w:r>
          </w:p>
          <w:p w:rsidR="00000000" w:rsidRPr="00C95ED2" w:rsidP="00C95ED2">
            <w:pPr>
              <w:pStyle w:val="ListBullet"/>
            </w:pPr>
            <w:r w:rsidRPr="00C95ED2">
              <w:t>explosive materials</w:t>
            </w:r>
          </w:p>
          <w:p w:rsidR="00000000" w:rsidRPr="00C95ED2" w:rsidP="00C95ED2">
            <w:pPr>
              <w:pStyle w:val="BodyText"/>
            </w:pPr>
          </w:p>
        </w:tc>
      </w:tr>
    </w:tbl>
    <w:p w:rsidR="00000000" w:rsidRPr="00C95ED2" w:rsidP="00C95ED2">
      <w:pPr>
        <w:pStyle w:val="BodyText"/>
      </w:pPr>
    </w:p>
    <w:p w:rsidR="00000000" w:rsidRPr="00C95ED2" w:rsidP="00C95ED2">
      <w:pPr>
        <w:pStyle w:val="AllowPageBreak"/>
      </w:pPr>
    </w:p>
    <w:p w:rsidR="00000000" w:rsidRPr="00C95ED2" w:rsidP="00C95ED2">
      <w:pPr>
        <w:pStyle w:val="Heading1"/>
      </w:pPr>
      <w:bookmarkStart w:id="8" w:name="O_949015"/>
      <w:bookmarkEnd w:id="8"/>
      <w:r w:rsidRPr="00C95ED2">
        <w:t>Unit Mapping Information</w:t>
      </w:r>
    </w:p>
    <w:p w:rsidR="00000000" w:rsidRPr="00C95ED2" w:rsidP="00062398">
      <w:pPr>
        <w:pStyle w:val="BodyText"/>
      </w:pPr>
      <w:r w:rsidRPr="00C95ED2">
        <w:t>Supersedes and is equivalent to MEM13004B Work safely with molten metals/glass</w:t>
      </w:r>
    </w:p>
    <w:p w:rsidR="00000000" w:rsidRPr="00C95ED2" w:rsidP="00C95ED2">
      <w:pPr>
        <w:pStyle w:val="Heading1"/>
      </w:pPr>
      <w:bookmarkStart w:id="9" w:name="O_949008"/>
      <w:bookmarkEnd w:id="9"/>
      <w:r w:rsidRPr="00C95ED2">
        <w:t>Links</w:t>
      </w:r>
    </w:p>
    <w:p w:rsidR="00000000" w:rsidRPr="00C95ED2" w:rsidP="00062398">
      <w:pPr>
        <w:pStyle w:val="BodyText"/>
      </w:pPr>
      <w:r w:rsidRPr="00C95E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543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5ED2" w:rsidP="00C95ED2"/>
    <w:sectPr w:rsidSect="00C95E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D2" w:rsidRPr="00062398" w:rsidP="00062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8" w:rsidP="00C95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398" w:rsidP="00C95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2398" w:rsidP="00C95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ED2" w:rsidRPr="00062398" w:rsidP="00062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8" w:rsidRPr="002D2AF8" w:rsidP="00C95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MEM13004 Work safely with molten metals/glass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2398" w:rsidP="00C95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360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8835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ED2"/>
  </w:style>
  <w:style w:type="character" w:customStyle="1" w:styleId="Heading1Char">
    <w:name w:val="Heading 1 Char"/>
    <w:basedOn w:val="DefaultParagraphFont"/>
    <w:link w:val="Heading1"/>
    <w:rsid w:val="00C95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E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E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ED2"/>
    <w:rPr>
      <w:b/>
      <w:spacing w:val="0"/>
    </w:rPr>
  </w:style>
  <w:style w:type="paragraph" w:customStyle="1" w:styleId="SuperHeading">
    <w:name w:val="SuperHeading"/>
    <w:basedOn w:val="Normal"/>
    <w:rsid w:val="00C95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95E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95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E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E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E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ED2"/>
    <w:rPr>
      <w:i/>
    </w:rPr>
  </w:style>
  <w:style w:type="paragraph" w:styleId="Caption">
    <w:name w:val="caption"/>
    <w:basedOn w:val="BodyText"/>
    <w:next w:val="Normal"/>
    <w:qFormat/>
    <w:rsid w:val="00C95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ED2"/>
  </w:style>
  <w:style w:type="paragraph" w:styleId="TableofFigures">
    <w:name w:val="table of figures"/>
    <w:basedOn w:val="Normal"/>
    <w:next w:val="Normal"/>
    <w:semiHidden/>
    <w:rsid w:val="00C95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E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ED2"/>
    <w:rPr>
      <w:rFonts w:ascii="Wingdings" w:hAnsi="Wingdings"/>
    </w:rPr>
  </w:style>
  <w:style w:type="paragraph" w:customStyle="1" w:styleId="TableHeading">
    <w:name w:val="Table Heading"/>
    <w:basedOn w:val="HeadingBase"/>
    <w:rsid w:val="00C95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ED2"/>
    <w:rPr>
      <w:color w:val="0033CC"/>
      <w:u w:val="none"/>
    </w:rPr>
  </w:style>
  <w:style w:type="paragraph" w:customStyle="1" w:styleId="BodyTextRight">
    <w:name w:val="Body Text Right"/>
    <w:basedOn w:val="BodyText"/>
    <w:rsid w:val="00C95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E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ED2"/>
    <w:rPr>
      <w:sz w:val="32"/>
    </w:rPr>
  </w:style>
  <w:style w:type="paragraph" w:customStyle="1" w:styleId="HeadingProcedure">
    <w:name w:val="Heading Procedure"/>
    <w:basedOn w:val="HeadingBase"/>
    <w:next w:val="Normal"/>
    <w:rsid w:val="00C95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ED2"/>
    <w:pPr>
      <w:spacing w:before="60" w:after="60"/>
    </w:pPr>
  </w:style>
  <w:style w:type="paragraph" w:styleId="ListContinue">
    <w:name w:val="List Continue"/>
    <w:basedOn w:val="List"/>
    <w:rsid w:val="00C95ED2"/>
    <w:pPr>
      <w:ind w:firstLine="0"/>
    </w:pPr>
  </w:style>
  <w:style w:type="paragraph" w:customStyle="1" w:styleId="ListNote">
    <w:name w:val="List Note"/>
    <w:basedOn w:val="List"/>
    <w:rsid w:val="00C95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ED2"/>
    <w:rPr>
      <w:rFonts w:ascii="Courier New" w:hAnsi="Courier New"/>
    </w:rPr>
  </w:style>
  <w:style w:type="paragraph" w:customStyle="1" w:styleId="NoteBullet">
    <w:name w:val="Note Bullet"/>
    <w:basedOn w:val="Note"/>
    <w:rsid w:val="00C95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E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ED2"/>
    <w:rPr>
      <w:b/>
      <w:smallCaps/>
    </w:rPr>
  </w:style>
  <w:style w:type="paragraph" w:customStyle="1" w:styleId="TableListNumber">
    <w:name w:val="Table List Number"/>
    <w:basedOn w:val="ListNumber"/>
    <w:rsid w:val="00C95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ED2"/>
    <w:pPr>
      <w:numPr>
        <w:numId w:val="8"/>
      </w:numPr>
    </w:pPr>
  </w:style>
  <w:style w:type="paragraph" w:customStyle="1" w:styleId="ListAlpha2">
    <w:name w:val="List Alpha 2"/>
    <w:basedOn w:val="List2"/>
    <w:rsid w:val="00C95ED2"/>
    <w:pPr>
      <w:numPr>
        <w:numId w:val="7"/>
      </w:numPr>
    </w:pPr>
  </w:style>
  <w:style w:type="paragraph" w:styleId="List3">
    <w:name w:val="List 3"/>
    <w:basedOn w:val="BodyText"/>
    <w:rsid w:val="00C95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E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E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ED2"/>
    <w:pPr>
      <w:numPr>
        <w:numId w:val="3"/>
      </w:numPr>
    </w:pPr>
  </w:style>
  <w:style w:type="paragraph" w:styleId="ListContinue2">
    <w:name w:val="List Continue 2"/>
    <w:basedOn w:val="List2"/>
    <w:rsid w:val="00C95ED2"/>
    <w:pPr>
      <w:ind w:firstLine="0"/>
    </w:pPr>
  </w:style>
  <w:style w:type="paragraph" w:styleId="ListContinue3">
    <w:name w:val="List Continue 3"/>
    <w:basedOn w:val="List3"/>
    <w:rsid w:val="00C95ED2"/>
    <w:pPr>
      <w:ind w:left="1021" w:firstLine="0"/>
    </w:pPr>
  </w:style>
  <w:style w:type="paragraph" w:styleId="ListContinue4">
    <w:name w:val="List Continue 4"/>
    <w:basedOn w:val="List4"/>
    <w:rsid w:val="00C95ED2"/>
    <w:pPr>
      <w:ind w:firstLine="0"/>
    </w:pPr>
  </w:style>
  <w:style w:type="paragraph" w:styleId="ListContinue5">
    <w:name w:val="List Continue 5"/>
    <w:basedOn w:val="List5"/>
    <w:rsid w:val="00C95ED2"/>
    <w:pPr>
      <w:ind w:firstLine="0"/>
    </w:pPr>
  </w:style>
  <w:style w:type="paragraph" w:styleId="ListNumber3">
    <w:name w:val="List Number 3"/>
    <w:basedOn w:val="List3"/>
    <w:rsid w:val="00C95ED2"/>
    <w:pPr>
      <w:numPr>
        <w:numId w:val="4"/>
      </w:numPr>
    </w:pPr>
  </w:style>
  <w:style w:type="paragraph" w:styleId="ListNumber4">
    <w:name w:val="List Number 4"/>
    <w:basedOn w:val="List4"/>
    <w:rsid w:val="00C95ED2"/>
    <w:pPr>
      <w:numPr>
        <w:numId w:val="5"/>
      </w:numPr>
    </w:pPr>
  </w:style>
  <w:style w:type="paragraph" w:styleId="ListNumber5">
    <w:name w:val="List Number 5"/>
    <w:basedOn w:val="List5"/>
    <w:rsid w:val="00C95ED2"/>
    <w:pPr>
      <w:numPr>
        <w:numId w:val="6"/>
      </w:numPr>
    </w:pPr>
  </w:style>
  <w:style w:type="paragraph" w:styleId="BlockText">
    <w:name w:val="Block Text"/>
    <w:basedOn w:val="Normal"/>
    <w:rsid w:val="00C95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ED2"/>
    <w:rPr>
      <w:sz w:val="16"/>
      <w:vertAlign w:val="superscript"/>
    </w:rPr>
  </w:style>
  <w:style w:type="character" w:customStyle="1" w:styleId="Symbols">
    <w:name w:val="Symbols"/>
    <w:basedOn w:val="DefaultParagraphFont"/>
    <w:rsid w:val="00C95ED2"/>
    <w:rPr>
      <w:rFonts w:ascii="Symbol" w:hAnsi="Symbol"/>
    </w:rPr>
  </w:style>
  <w:style w:type="character" w:customStyle="1" w:styleId="MenuOptions">
    <w:name w:val="Menu Options"/>
    <w:basedOn w:val="DefaultParagraphFont"/>
    <w:rsid w:val="00C95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ED2"/>
    <w:rPr>
      <w:b/>
    </w:rPr>
  </w:style>
  <w:style w:type="character" w:customStyle="1" w:styleId="Underlined">
    <w:name w:val="Underlined"/>
    <w:basedOn w:val="DefaultParagraphFont"/>
    <w:rsid w:val="00C95ED2"/>
    <w:rPr>
      <w:u w:val="single"/>
    </w:rPr>
  </w:style>
  <w:style w:type="paragraph" w:customStyle="1" w:styleId="TableBodyTextRight">
    <w:name w:val="Table Body Text Right"/>
    <w:basedOn w:val="TableBodyText"/>
    <w:rsid w:val="00C95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ED2"/>
    <w:rPr>
      <w:sz w:val="18"/>
    </w:rPr>
  </w:style>
  <w:style w:type="paragraph" w:customStyle="1" w:styleId="BodySmallRight">
    <w:name w:val="Body Small Right"/>
    <w:basedOn w:val="BodyTextRight"/>
    <w:rsid w:val="00C95ED2"/>
    <w:rPr>
      <w:sz w:val="18"/>
      <w:szCs w:val="18"/>
    </w:rPr>
  </w:style>
  <w:style w:type="paragraph" w:customStyle="1" w:styleId="MarginEdition">
    <w:name w:val="Margin Edition"/>
    <w:basedOn w:val="MarginNote"/>
    <w:rsid w:val="00C95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ED2"/>
    <w:rPr>
      <w:sz w:val="2"/>
      <w:szCs w:val="2"/>
    </w:rPr>
  </w:style>
  <w:style w:type="character" w:customStyle="1" w:styleId="Small">
    <w:name w:val="Small"/>
    <w:basedOn w:val="DefaultParagraphFont"/>
    <w:rsid w:val="00C95ED2"/>
    <w:rPr>
      <w:sz w:val="16"/>
    </w:rPr>
  </w:style>
  <w:style w:type="paragraph" w:customStyle="1" w:styleId="WideTable">
    <w:name w:val="Wide Table"/>
    <w:basedOn w:val="Normal"/>
    <w:rsid w:val="00C95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ED2"/>
  </w:style>
  <w:style w:type="paragraph" w:styleId="Quote">
    <w:name w:val="Quote"/>
    <w:basedOn w:val="Heading1"/>
    <w:link w:val="QuoteChar"/>
    <w:qFormat/>
    <w:rsid w:val="00C95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ED2"/>
    <w:pPr>
      <w:pageBreakBefore/>
    </w:pPr>
  </w:style>
  <w:style w:type="paragraph" w:customStyle="1" w:styleId="Border">
    <w:name w:val="Border"/>
    <w:basedOn w:val="Normal"/>
    <w:qFormat/>
    <w:rsid w:val="00C95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ED2"/>
    <w:rPr>
      <w:u w:val="single"/>
    </w:rPr>
  </w:style>
  <w:style w:type="character" w:customStyle="1" w:styleId="BoldandItalics">
    <w:name w:val="Bold and Italics"/>
    <w:qFormat/>
    <w:rsid w:val="00C95ED2"/>
    <w:rPr>
      <w:b/>
      <w:i/>
      <w:u w:val="none"/>
    </w:rPr>
  </w:style>
  <w:style w:type="paragraph" w:styleId="BalloonText">
    <w:name w:val="Balloon Text"/>
    <w:basedOn w:val="Normal"/>
    <w:link w:val="BalloonTextChar"/>
    <w:rsid w:val="00C95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ED2"/>
    <w:pPr>
      <w:spacing w:before="0" w:after="0"/>
    </w:pPr>
  </w:style>
  <w:style w:type="paragraph" w:customStyle="1" w:styleId="BodyTextBold">
    <w:name w:val="Body Text Bold"/>
    <w:basedOn w:val="BodyText"/>
    <w:qFormat/>
    <w:rsid w:val="00C95ED2"/>
    <w:rPr>
      <w:b/>
    </w:rPr>
  </w:style>
  <w:style w:type="character" w:styleId="Hyperlink">
    <w:name w:val="Hyperlink"/>
    <w:basedOn w:val="DefaultParagraphFont"/>
    <w:uiPriority w:val="99"/>
    <w:unhideWhenUsed/>
    <w:rsid w:val="0006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3786</Characters>
  <Application>Microsoft Office Word</Application>
  <DocSecurity>0</DocSecurity>
  <Lines>180</Lines>
  <Paragraphs>107</Paragraphs>
  <ScaleCrop>false</ScaleCrop>
  <Company>Author-it Software Corporation Ltd.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MEM13004 Work safely with molten metals/glass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