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0F30" w:rsidP="005F0F30">
      <w:pPr>
        <w:pStyle w:val="Title"/>
      </w:pPr>
      <w:r>
        <w:fldChar w:fldCharType="begin"/>
      </w:r>
      <w:r>
        <w:instrText xml:space="preserve"> TITLE   \* MERGEFORMAT </w:instrText>
      </w:r>
      <w:r>
        <w:fldChar w:fldCharType="separate"/>
      </w:r>
      <w:r>
        <w:t>MEM13003 Work safely with industrial chemicals and materials</w:t>
      </w:r>
      <w:r>
        <w:fldChar w:fldCharType="end"/>
      </w:r>
    </w:p>
    <w:p w:rsidR="005F0F30" w:rsidP="005F0F30">
      <w:pPr>
        <w:pStyle w:val="Version"/>
        <w:sectPr w:rsidSect="000478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782A" w:rsidP="0004782A">
      <w:pPr>
        <w:pStyle w:val="SuperHeading"/>
      </w:pPr>
      <w:r w:rsidRPr="0004782A">
        <w:t>MEM13003 Work safely with industrial chemicals and materials</w:t>
      </w:r>
    </w:p>
    <w:p w:rsidR="00000000" w:rsidRPr="0004782A" w:rsidP="0004782A">
      <w:pPr>
        <w:pStyle w:val="Heading1"/>
      </w:pPr>
      <w:bookmarkStart w:id="1" w:name="O_948995"/>
      <w:bookmarkEnd w:id="1"/>
      <w:r w:rsidRPr="0004782A">
        <w:t>Modification History</w:t>
      </w:r>
    </w:p>
    <w:p w:rsidR="00000000" w:rsidRPr="0004782A" w:rsidP="005F0F30">
      <w:pPr>
        <w:pStyle w:val="BodyText"/>
      </w:pPr>
      <w:r w:rsidRPr="0004782A">
        <w:t xml:space="preserve">Release 1. Supersedes and is equivalent to MEM13003B Work safely with industrial chemicals and materials </w:t>
      </w:r>
    </w:p>
    <w:p w:rsidR="00000000" w:rsidRPr="0004782A" w:rsidP="0004782A">
      <w:pPr>
        <w:pStyle w:val="Heading1"/>
      </w:pPr>
      <w:bookmarkStart w:id="2" w:name="O_949003"/>
      <w:bookmarkEnd w:id="2"/>
      <w:r w:rsidRPr="0004782A">
        <w:t>Application</w:t>
      </w:r>
    </w:p>
    <w:p w:rsidR="00000000" w:rsidRPr="0004782A" w:rsidP="005F0F30">
      <w:pPr>
        <w:pStyle w:val="BodyText"/>
      </w:pPr>
      <w:r w:rsidRPr="0004782A">
        <w:t>This unit of competency defines the skills and knowledge required to work safely wit</w:t>
      </w:r>
      <w:r w:rsidRPr="0004782A">
        <w:t xml:space="preserve">h industrial chemicals and materials subject to codes and regulations that are stored and used in a workplace, for example, chemicals, solvents, dangerous materials, acids and noxious waste products in a manufacturing and/or engineering environment. </w:t>
      </w:r>
    </w:p>
    <w:p w:rsidR="00000000" w:rsidRPr="0004782A" w:rsidP="005F0F30">
      <w:pPr>
        <w:pStyle w:val="BodyText"/>
      </w:pPr>
      <w:r w:rsidRPr="0004782A">
        <w:t>This</w:t>
      </w:r>
      <w:r w:rsidRPr="0004782A">
        <w:t xml:space="preserve"> unit describes the competencies which are beyond those safety requirements normally applied in the workplace as described in unit MEM13015 Work safely and effectively in manufacturing and engineering, or specifically described in individual units, such as</w:t>
      </w:r>
      <w:r w:rsidRPr="0004782A">
        <w:t xml:space="preserve"> welding.</w:t>
      </w:r>
    </w:p>
    <w:p w:rsidR="00000000" w:rsidRPr="0004782A" w:rsidP="005F0F30">
      <w:pPr>
        <w:pStyle w:val="BodyText"/>
      </w:pPr>
      <w:r w:rsidRPr="0004782A">
        <w:t>Where the selection and use of engineering measurement is required unit MEM12023 Perform engineering measurements should also be selected.</w:t>
      </w:r>
    </w:p>
    <w:p w:rsidR="00000000" w:rsidRPr="0004782A" w:rsidP="005F0F30">
      <w:pPr>
        <w:pStyle w:val="BodyText"/>
      </w:pPr>
      <w:r w:rsidRPr="0004782A">
        <w:t>Evidence of competency is to encompass the satisfactory application of current state/territory work healt</w:t>
      </w:r>
      <w:r w:rsidRPr="0004782A">
        <w:t>h and safety (WHS) legislation, standards and codes of practice, and the hierarchy of hazard control measures.</w:t>
      </w:r>
    </w:p>
    <w:p w:rsidR="00000000" w:rsidRPr="0004782A" w:rsidP="0004782A">
      <w:pPr>
        <w:pStyle w:val="BodyText"/>
      </w:pPr>
      <w:r w:rsidRPr="0004782A">
        <w:rPr>
          <w:rStyle w:val="SpecialBold"/>
        </w:rPr>
        <w:t>Band</w:t>
      </w:r>
      <w:r w:rsidRPr="0004782A">
        <w:t>:</w:t>
      </w:r>
      <w:r w:rsidRPr="0004782A">
        <w:tab/>
      </w:r>
      <w:r w:rsidRPr="0004782A">
        <w:rPr>
          <w:rStyle w:val="SpecialBold"/>
        </w:rPr>
        <w:t>A</w:t>
      </w:r>
    </w:p>
    <w:p w:rsidR="005F0F30" w:rsidP="0004782A">
      <w:pPr>
        <w:pStyle w:val="BodyText"/>
      </w:pPr>
      <w:r w:rsidRPr="0004782A">
        <w:rPr>
          <w:rStyle w:val="SpecialBold"/>
        </w:rPr>
        <w:t>Unit Weight</w:t>
      </w:r>
      <w:r w:rsidRPr="0004782A">
        <w:t>:</w:t>
      </w:r>
      <w:r w:rsidRPr="0004782A">
        <w:tab/>
      </w:r>
      <w:r w:rsidRPr="0004782A">
        <w:rPr>
          <w:rStyle w:val="SpecialBold"/>
        </w:rPr>
        <w:t>2</w:t>
      </w:r>
    </w:p>
    <w:p w:rsidR="005F0F30" w:rsidP="0004782A">
      <w:pPr>
        <w:pStyle w:val="BodyText"/>
      </w:pPr>
    </w:p>
    <w:p w:rsidR="00000000" w:rsidRPr="0004782A" w:rsidP="0004782A">
      <w:pPr>
        <w:pStyle w:val="Heading1"/>
      </w:pPr>
      <w:bookmarkStart w:id="3" w:name="O_949002"/>
      <w:bookmarkEnd w:id="3"/>
      <w:r w:rsidRPr="0004782A">
        <w:t>Pre-requisite Unit</w:t>
      </w:r>
    </w:p>
    <w:tbl>
      <w:tblPr>
        <w:tblW w:w="0" w:type="auto"/>
        <w:tblLayout w:type="fixed"/>
        <w:tblCellMar>
          <w:left w:w="62" w:type="dxa"/>
          <w:right w:w="62" w:type="dxa"/>
        </w:tblCellMar>
        <w:tblLook w:val="0000"/>
      </w:tblPr>
      <w:tblGrid>
        <w:gridCol w:w="2159"/>
        <w:gridCol w:w="6738"/>
      </w:tblGrid>
      <w:tr w:rsidTr="0004782A">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t>MEM11011</w:t>
            </w:r>
          </w:p>
        </w:tc>
        <w:tc>
          <w:tcPr>
            <w:tcW w:w="6738" w:type="dxa"/>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t>Undertake manual handling</w:t>
            </w:r>
          </w:p>
        </w:tc>
      </w:tr>
      <w:tr w:rsidTr="0004782A">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t>MEM13015</w:t>
            </w:r>
          </w:p>
        </w:tc>
        <w:tc>
          <w:tcPr>
            <w:tcW w:w="6738" w:type="dxa"/>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t>Work safely and effectively in manufacturing and engineering</w:t>
            </w:r>
          </w:p>
        </w:tc>
      </w:tr>
      <w:tr w:rsidTr="0004782A">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t>MEM16006</w:t>
            </w:r>
          </w:p>
        </w:tc>
        <w:tc>
          <w:tcPr>
            <w:tcW w:w="6738" w:type="dxa"/>
            <w:tcBorders>
              <w:top w:val="nil"/>
              <w:left w:val="nil"/>
              <w:bottom w:val="nil"/>
              <w:right w:val="nil"/>
            </w:tcBorders>
            <w:tcMar>
              <w:top w:w="0" w:type="dxa"/>
              <w:left w:w="62" w:type="dxa"/>
              <w:bottom w:w="0" w:type="dxa"/>
              <w:right w:w="62" w:type="dxa"/>
            </w:tcMar>
          </w:tcPr>
          <w:p w:rsidR="00000000" w:rsidRPr="0004782A" w:rsidP="0004782A">
            <w:pPr>
              <w:pStyle w:val="BodyText"/>
            </w:pPr>
            <w:r w:rsidRPr="0004782A">
              <w:t>Organise and communicate information</w:t>
            </w:r>
          </w:p>
        </w:tc>
      </w:tr>
    </w:tbl>
    <w:p w:rsidR="00000000" w:rsidRPr="0004782A" w:rsidP="0004782A">
      <w:pPr>
        <w:pStyle w:val="BodyText"/>
      </w:pPr>
    </w:p>
    <w:p w:rsidR="00000000" w:rsidRPr="0004782A" w:rsidP="0004782A">
      <w:pPr>
        <w:pStyle w:val="AllowPageBreak"/>
      </w:pPr>
    </w:p>
    <w:p w:rsidR="00000000" w:rsidRPr="0004782A" w:rsidP="0004782A">
      <w:pPr>
        <w:pStyle w:val="Heading1"/>
      </w:pPr>
      <w:bookmarkStart w:id="4" w:name="O_949001"/>
      <w:bookmarkEnd w:id="4"/>
      <w:r w:rsidRPr="0004782A">
        <w:t>Competency Field</w:t>
      </w:r>
    </w:p>
    <w:p w:rsidR="00000000" w:rsidRPr="0004782A" w:rsidP="005F0F30">
      <w:pPr>
        <w:pStyle w:val="BodyText"/>
      </w:pPr>
      <w:r w:rsidRPr="0004782A">
        <w:t>Work health and safety</w:t>
      </w:r>
    </w:p>
    <w:p w:rsidR="00000000" w:rsidRPr="0004782A" w:rsidP="0004782A">
      <w:pPr>
        <w:pStyle w:val="Heading1"/>
      </w:pPr>
      <w:bookmarkStart w:id="5" w:name="O_948999"/>
      <w:bookmarkEnd w:id="5"/>
      <w:r w:rsidRPr="0004782A">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04782A">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t>Elements describe the essential outcom</w:t>
            </w:r>
            <w:r w:rsidRPr="0004782A">
              <w:t>es.</w:t>
            </w:r>
          </w:p>
        </w:tc>
        <w:tc>
          <w:tcPr>
            <w:tcW w:w="6457" w:type="dxa"/>
            <w:gridSpan w:val="2"/>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t>Performance criteria describe the performance needed to demonstrate achievement of the element.</w:t>
            </w:r>
          </w:p>
        </w:tc>
      </w:tr>
      <w:tr w:rsidTr="000478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4782A" w:rsidP="0004782A">
            <w:pPr>
              <w:pStyle w:val="BodyText"/>
            </w:pPr>
            <w:r w:rsidRPr="0004782A">
              <w:t>1</w:t>
            </w:r>
          </w:p>
        </w:tc>
        <w:tc>
          <w:tcPr>
            <w:tcW w:w="1986" w:type="dxa"/>
            <w:vMerge w:val="restart"/>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t>1.1</w:t>
            </w:r>
          </w:p>
        </w:tc>
        <w:tc>
          <w:tcPr>
            <w:tcW w:w="5678" w:type="dxa"/>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t>Follow standard operating procedures (SOPs)</w:t>
            </w:r>
          </w:p>
        </w:tc>
      </w:tr>
      <w:tr w:rsidTr="000478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t>1.2</w:t>
            </w:r>
          </w:p>
        </w:tc>
        <w:tc>
          <w:tcPr>
            <w:tcW w:w="5678" w:type="dxa"/>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t>Comply with work health and safety (WHS) requirements at all times</w:t>
            </w:r>
          </w:p>
        </w:tc>
      </w:tr>
      <w:tr w:rsidTr="000478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t>1.3</w:t>
            </w:r>
          </w:p>
        </w:tc>
        <w:tc>
          <w:tcPr>
            <w:tcW w:w="5678" w:type="dxa"/>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t>Identify job requirements from specifications, job sheets or work instructions</w:t>
            </w:r>
          </w:p>
        </w:tc>
      </w:tr>
      <w:tr w:rsidTr="0004782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04782A">
            <w:pPr>
              <w:pStyle w:val="BodyText"/>
              <w:rPr>
                <w:lang w:val="en-NZ"/>
              </w:rPr>
            </w:pPr>
          </w:p>
        </w:tc>
      </w:tr>
      <w:tr w:rsidTr="000478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4782A" w:rsidP="0004782A">
            <w:pPr>
              <w:pStyle w:val="BodyText"/>
            </w:pPr>
            <w:r w:rsidRPr="0004782A">
              <w:t>2</w:t>
            </w:r>
          </w:p>
        </w:tc>
        <w:tc>
          <w:tcPr>
            <w:tcW w:w="1986" w:type="dxa"/>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rPr>
                <w:rStyle w:val="SpecialBold"/>
              </w:rPr>
              <w:t>Use personal protective equipment</w:t>
            </w:r>
          </w:p>
        </w:tc>
        <w:tc>
          <w:tcPr>
            <w:tcW w:w="779" w:type="dxa"/>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t>2.1</w:t>
            </w:r>
          </w:p>
        </w:tc>
        <w:tc>
          <w:tcPr>
            <w:tcW w:w="5678" w:type="dxa"/>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t>Select correct and appropriate personal protective equipment (PPE) and use correctly based on information in relevant safety d</w:t>
            </w:r>
            <w:r w:rsidRPr="0004782A">
              <w:t>ata sheet (SDS)</w:t>
            </w:r>
          </w:p>
        </w:tc>
      </w:tr>
      <w:tr w:rsidTr="0004782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04782A">
            <w:pPr>
              <w:pStyle w:val="BodyText"/>
              <w:rPr>
                <w:lang w:val="en-NZ"/>
              </w:rPr>
            </w:pPr>
          </w:p>
        </w:tc>
      </w:tr>
      <w:tr w:rsidTr="000478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4782A" w:rsidP="0004782A">
            <w:pPr>
              <w:pStyle w:val="BodyText"/>
            </w:pPr>
            <w:r w:rsidRPr="0004782A">
              <w:t>3</w:t>
            </w:r>
          </w:p>
        </w:tc>
        <w:tc>
          <w:tcPr>
            <w:tcW w:w="1986" w:type="dxa"/>
            <w:vMerge w:val="restart"/>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rPr>
                <w:rStyle w:val="SpecialBold"/>
              </w:rPr>
              <w:t>Adhere to emergency procedures</w:t>
            </w:r>
          </w:p>
        </w:tc>
        <w:tc>
          <w:tcPr>
            <w:tcW w:w="779" w:type="dxa"/>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t>3.1</w:t>
            </w:r>
          </w:p>
        </w:tc>
        <w:tc>
          <w:tcPr>
            <w:tcW w:w="5678" w:type="dxa"/>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t>Locate emergency equipment and use in accordance with workplace policies and SOPs</w:t>
            </w:r>
          </w:p>
        </w:tc>
      </w:tr>
      <w:tr w:rsidTr="000478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t>3.2</w:t>
            </w:r>
          </w:p>
        </w:tc>
        <w:tc>
          <w:tcPr>
            <w:tcW w:w="5678" w:type="dxa"/>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t>Demonstrate responses to emergency procedures as detailed in approved safety procedures and instructions</w:t>
            </w:r>
          </w:p>
        </w:tc>
      </w:tr>
      <w:tr w:rsidTr="0004782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04782A">
            <w:pPr>
              <w:pStyle w:val="BodyText"/>
              <w:rPr>
                <w:lang w:val="en-NZ"/>
              </w:rPr>
            </w:pPr>
          </w:p>
        </w:tc>
      </w:tr>
      <w:tr w:rsidTr="000478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4782A" w:rsidP="0004782A">
            <w:pPr>
              <w:pStyle w:val="BodyText"/>
            </w:pPr>
            <w:r w:rsidRPr="0004782A">
              <w:t>4</w:t>
            </w:r>
          </w:p>
        </w:tc>
        <w:tc>
          <w:tcPr>
            <w:tcW w:w="1986" w:type="dxa"/>
            <w:vMerge w:val="restart"/>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rPr>
                <w:rStyle w:val="SpecialBold"/>
              </w:rPr>
              <w:t>Observe safe working practices</w:t>
            </w:r>
          </w:p>
        </w:tc>
        <w:tc>
          <w:tcPr>
            <w:tcW w:w="779" w:type="dxa"/>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t>4.1</w:t>
            </w:r>
          </w:p>
        </w:tc>
        <w:tc>
          <w:tcPr>
            <w:tcW w:w="5678" w:type="dxa"/>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t>Identify hazardous areas and materials and understand and identify special handling procedures and obtain permits to work, if necessary</w:t>
            </w:r>
          </w:p>
        </w:tc>
      </w:tr>
      <w:tr w:rsidTr="000478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t>4.2</w:t>
            </w:r>
          </w:p>
        </w:tc>
        <w:tc>
          <w:tcPr>
            <w:tcW w:w="5678" w:type="dxa"/>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t>Use all equipment and hazardous materials in accordance with relevant WHS legislation, manufacturers</w:t>
            </w:r>
            <w:r>
              <w:t>’</w:t>
            </w:r>
            <w:r w:rsidRPr="0004782A">
              <w:t xml:space="preserve"> instructions and SOPs</w:t>
            </w:r>
          </w:p>
        </w:tc>
      </w:tr>
      <w:tr w:rsidTr="000478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t>4.3</w:t>
            </w:r>
          </w:p>
        </w:tc>
        <w:tc>
          <w:tcPr>
            <w:tcW w:w="5678" w:type="dxa"/>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t>Identify and understand all site-specific safety policies, safety signs, symbols and labels</w:t>
            </w:r>
          </w:p>
        </w:tc>
      </w:tr>
      <w:tr w:rsidTr="000478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t>4.4</w:t>
            </w:r>
          </w:p>
        </w:tc>
        <w:tc>
          <w:tcPr>
            <w:tcW w:w="5678" w:type="dxa"/>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t>Interpret and apply SDS</w:t>
            </w:r>
          </w:p>
        </w:tc>
      </w:tr>
      <w:tr w:rsidTr="000478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t>4.5</w:t>
            </w:r>
          </w:p>
        </w:tc>
        <w:tc>
          <w:tcPr>
            <w:tcW w:w="5678" w:type="dxa"/>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t>Use safe manual handling procedures, including equipment</w:t>
            </w:r>
          </w:p>
        </w:tc>
      </w:tr>
      <w:tr w:rsidTr="000478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t>4.6</w:t>
            </w:r>
          </w:p>
        </w:tc>
        <w:tc>
          <w:tcPr>
            <w:tcW w:w="5678" w:type="dxa"/>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t>Ensure decanted chemicals and storage is to state/territory dangerous goods, WHS legislation and requirements</w:t>
            </w:r>
          </w:p>
        </w:tc>
      </w:tr>
      <w:tr w:rsidTr="000478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t>4.7</w:t>
            </w:r>
          </w:p>
        </w:tc>
        <w:tc>
          <w:tcPr>
            <w:tcW w:w="5678" w:type="dxa"/>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t>Update chemical manifest following SOPs</w:t>
            </w:r>
          </w:p>
        </w:tc>
      </w:tr>
      <w:tr w:rsidTr="000478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t>4.8</w:t>
            </w:r>
          </w:p>
        </w:tc>
        <w:tc>
          <w:tcPr>
            <w:tcW w:w="5678" w:type="dxa"/>
            <w:tcBorders>
              <w:top w:val="nil"/>
              <w:left w:val="nil"/>
              <w:bottom w:val="nil"/>
              <w:right w:val="nil"/>
            </w:tcBorders>
            <w:tcMar>
              <w:top w:w="0" w:type="dxa"/>
              <w:left w:w="62" w:type="dxa"/>
              <w:bottom w:w="0" w:type="dxa"/>
              <w:right w:w="62" w:type="dxa"/>
            </w:tcMar>
          </w:tcPr>
          <w:p w:rsidR="00000000" w:rsidRPr="0004782A" w:rsidP="0004782A">
            <w:pPr>
              <w:pStyle w:val="BodyText"/>
            </w:pPr>
            <w:r w:rsidRPr="0004782A">
              <w:t>Perform housekeeping du</w:t>
            </w:r>
            <w:r w:rsidRPr="0004782A">
              <w:t xml:space="preserve">ties to maintain a safe working environment according to SOPs </w:t>
            </w:r>
          </w:p>
        </w:tc>
      </w:tr>
    </w:tbl>
    <w:p w:rsidR="00000000" w:rsidRPr="0004782A" w:rsidP="0004782A">
      <w:pPr>
        <w:pStyle w:val="BodyText"/>
      </w:pPr>
    </w:p>
    <w:p w:rsidR="00000000" w:rsidRPr="0004782A" w:rsidP="0004782A">
      <w:pPr>
        <w:pStyle w:val="AllowPageBreak"/>
      </w:pPr>
    </w:p>
    <w:p w:rsidR="00000000" w:rsidRPr="0004782A" w:rsidP="0004782A">
      <w:pPr>
        <w:pStyle w:val="Heading1"/>
      </w:pPr>
      <w:bookmarkStart w:id="6" w:name="O_948998"/>
      <w:bookmarkEnd w:id="6"/>
      <w:r w:rsidRPr="0004782A">
        <w:t>Foundation Skills</w:t>
      </w:r>
    </w:p>
    <w:p w:rsidR="00000000" w:rsidRPr="0004782A" w:rsidP="005F0F30">
      <w:pPr>
        <w:pStyle w:val="BodyText"/>
      </w:pPr>
      <w:r w:rsidRPr="0004782A">
        <w:t xml:space="preserve">This section describes those required skills (reading, writing, oral communication and numeracy) that are essential to workplace performance in this </w:t>
      </w:r>
      <w:r w:rsidRPr="0004782A">
        <w:t xml:space="preserve">unit of competency.  </w:t>
      </w:r>
    </w:p>
    <w:p w:rsidR="00000000" w:rsidRPr="0004782A" w:rsidP="005F0F30">
      <w:pPr>
        <w:pStyle w:val="BodyText"/>
      </w:pPr>
      <w:r w:rsidRPr="0004782A">
        <w:t>Foundation skills essential to performance are explicit in the performance criteria of this unit of competency.</w:t>
      </w:r>
    </w:p>
    <w:p w:rsidR="00000000" w:rsidRPr="0004782A" w:rsidP="0004782A">
      <w:pPr>
        <w:pStyle w:val="Heading1"/>
      </w:pPr>
      <w:bookmarkStart w:id="7" w:name="O_948997"/>
      <w:bookmarkEnd w:id="7"/>
      <w:r w:rsidRPr="0004782A">
        <w:t>Range of Conditions</w:t>
      </w:r>
    </w:p>
    <w:tbl>
      <w:tblPr>
        <w:tblW w:w="9286" w:type="dxa"/>
        <w:tblLayout w:type="fixed"/>
        <w:tblCellMar>
          <w:left w:w="62" w:type="dxa"/>
          <w:right w:w="62" w:type="dxa"/>
        </w:tblCellMar>
        <w:tblLook w:val="0000"/>
      </w:tblPr>
      <w:tblGrid>
        <w:gridCol w:w="2759"/>
        <w:gridCol w:w="6527"/>
      </w:tblGrid>
      <w:tr w:rsidTr="0004782A">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t>This field allows for different work environments and conditions that may affect per</w:t>
            </w:r>
            <w:r w:rsidRPr="0004782A">
              <w:t>formance. Essential operating conditions that may be present (depending on the work situation, needs of the candidate, accessibility of the item, and local industry and regional contexts) are included.</w:t>
            </w:r>
          </w:p>
        </w:tc>
      </w:tr>
      <w:tr w:rsidTr="0004782A">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rPr>
                <w:rStyle w:val="SpecialBold"/>
              </w:rPr>
              <w:t>Hierarchy of control measures include the following:</w:t>
            </w:r>
          </w:p>
        </w:tc>
        <w:tc>
          <w:tcPr>
            <w:tcW w:w="6527" w:type="dxa"/>
            <w:tcBorders>
              <w:top w:val="nil"/>
              <w:left w:val="nil"/>
              <w:bottom w:val="nil"/>
              <w:right w:val="nil"/>
            </w:tcBorders>
            <w:tcMar>
              <w:top w:w="0" w:type="dxa"/>
              <w:left w:w="62" w:type="dxa"/>
              <w:bottom w:w="0" w:type="dxa"/>
              <w:right w:w="62" w:type="dxa"/>
            </w:tcMar>
          </w:tcPr>
          <w:p w:rsidR="00000000" w:rsidRPr="0004782A" w:rsidP="0004782A">
            <w:pPr>
              <w:pStyle w:val="BodyText"/>
            </w:pPr>
            <w:r w:rsidRPr="0004782A">
              <w:t xml:space="preserve">The application of the hierarchy of control follows the six-step preference of control measures to manage and control risk: </w:t>
            </w:r>
          </w:p>
          <w:p w:rsidR="00000000" w:rsidRPr="0004782A" w:rsidP="0004782A">
            <w:pPr>
              <w:pStyle w:val="List2"/>
            </w:pPr>
            <w:r w:rsidRPr="0004782A">
              <w:rPr>
                <w:rStyle w:val="SpecialBold"/>
              </w:rPr>
              <w:t>1</w:t>
            </w:r>
            <w:r w:rsidRPr="0004782A">
              <w:t>. elimination</w:t>
            </w:r>
          </w:p>
          <w:p w:rsidR="00000000" w:rsidRPr="0004782A" w:rsidP="0004782A">
            <w:pPr>
              <w:pStyle w:val="List2"/>
            </w:pPr>
            <w:r w:rsidRPr="0004782A">
              <w:rPr>
                <w:rStyle w:val="SpecialBold"/>
              </w:rPr>
              <w:t xml:space="preserve">2. </w:t>
            </w:r>
            <w:r w:rsidRPr="0004782A">
              <w:t xml:space="preserve">substitution </w:t>
            </w:r>
          </w:p>
          <w:p w:rsidR="00000000" w:rsidRPr="0004782A" w:rsidP="0004782A">
            <w:pPr>
              <w:pStyle w:val="List2"/>
            </w:pPr>
            <w:r w:rsidRPr="0004782A">
              <w:rPr>
                <w:rStyle w:val="SpecialBold"/>
              </w:rPr>
              <w:t xml:space="preserve">3. </w:t>
            </w:r>
            <w:r w:rsidRPr="0004782A">
              <w:t xml:space="preserve">isolation </w:t>
            </w:r>
          </w:p>
          <w:p w:rsidR="00000000" w:rsidRPr="0004782A" w:rsidP="0004782A">
            <w:pPr>
              <w:pStyle w:val="List2"/>
            </w:pPr>
            <w:r w:rsidRPr="0004782A">
              <w:rPr>
                <w:rStyle w:val="SpecialBold"/>
              </w:rPr>
              <w:t xml:space="preserve">4. </w:t>
            </w:r>
            <w:r w:rsidRPr="0004782A">
              <w:t>engineering control measures</w:t>
            </w:r>
            <w:r w:rsidRPr="0004782A">
              <w:rPr>
                <w:rStyle w:val="SpecialBold"/>
              </w:rPr>
              <w:t xml:space="preserve"> </w:t>
            </w:r>
          </w:p>
          <w:p w:rsidR="00000000" w:rsidRPr="0004782A" w:rsidP="0004782A">
            <w:pPr>
              <w:pStyle w:val="List2"/>
            </w:pPr>
            <w:r w:rsidRPr="0004782A">
              <w:rPr>
                <w:rStyle w:val="SpecialBold"/>
              </w:rPr>
              <w:t xml:space="preserve">5. </w:t>
            </w:r>
            <w:r w:rsidRPr="0004782A">
              <w:t>using safe work practices</w:t>
            </w:r>
            <w:r w:rsidRPr="0004782A">
              <w:rPr>
                <w:rStyle w:val="SpecialBold"/>
              </w:rPr>
              <w:t xml:space="preserve"> </w:t>
            </w:r>
          </w:p>
          <w:p w:rsidR="00000000" w:rsidRPr="0004782A" w:rsidP="0004782A">
            <w:pPr>
              <w:pStyle w:val="List2"/>
            </w:pPr>
            <w:r w:rsidRPr="0004782A">
              <w:rPr>
                <w:rStyle w:val="SpecialBold"/>
              </w:rPr>
              <w:t>6.</w:t>
            </w:r>
            <w:r w:rsidRPr="0004782A">
              <w:t xml:space="preserve"> personal protectiv</w:t>
            </w:r>
            <w:r w:rsidRPr="0004782A">
              <w:t xml:space="preserve">e equipment (PPE) </w:t>
            </w:r>
          </w:p>
          <w:p w:rsidR="00000000" w:rsidP="0004782A">
            <w:pPr>
              <w:pStyle w:val="List2"/>
              <w:rPr>
                <w:lang w:val="en-NZ"/>
              </w:rPr>
            </w:pPr>
          </w:p>
        </w:tc>
      </w:tr>
      <w:tr w:rsidTr="0004782A">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rPr>
                <w:rStyle w:val="SpecialBold"/>
              </w:rPr>
              <w:t>PPE includes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04782A" w:rsidP="0004782A">
            <w:pPr>
              <w:pStyle w:val="ListBullet"/>
            </w:pPr>
            <w:r w:rsidRPr="0004782A">
              <w:t>goggles/face shields</w:t>
            </w:r>
          </w:p>
          <w:p w:rsidR="00000000" w:rsidRPr="0004782A" w:rsidP="0004782A">
            <w:pPr>
              <w:pStyle w:val="ListBullet"/>
            </w:pPr>
            <w:r w:rsidRPr="0004782A">
              <w:t>respirators</w:t>
            </w:r>
          </w:p>
          <w:p w:rsidR="00000000" w:rsidRPr="0004782A" w:rsidP="0004782A">
            <w:pPr>
              <w:pStyle w:val="ListBullet"/>
            </w:pPr>
            <w:r w:rsidRPr="0004782A">
              <w:t>air supplied or self-contained helmets</w:t>
            </w:r>
          </w:p>
          <w:p w:rsidR="00000000" w:rsidRPr="0004782A" w:rsidP="0004782A">
            <w:pPr>
              <w:pStyle w:val="ListBullet"/>
            </w:pPr>
            <w:r w:rsidRPr="0004782A">
              <w:t>safety boots</w:t>
            </w:r>
          </w:p>
          <w:p w:rsidR="00000000" w:rsidRPr="0004782A" w:rsidP="0004782A">
            <w:pPr>
              <w:pStyle w:val="ListBullet"/>
            </w:pPr>
            <w:r w:rsidRPr="0004782A">
              <w:t>gloves and appropriate clothes/garments</w:t>
            </w:r>
          </w:p>
          <w:p w:rsidR="00000000" w:rsidP="0004782A">
            <w:pPr>
              <w:pStyle w:val="BodyText"/>
              <w:rPr>
                <w:lang w:val="en-NZ"/>
              </w:rPr>
            </w:pPr>
          </w:p>
        </w:tc>
      </w:tr>
      <w:tr w:rsidTr="0004782A">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rPr>
                <w:rStyle w:val="SpecialBold"/>
              </w:rPr>
              <w:t>Safe working practices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04782A" w:rsidP="0004782A">
            <w:pPr>
              <w:pStyle w:val="ListBullet"/>
            </w:pPr>
            <w:r w:rsidRPr="0004782A">
              <w:t>environment is inspected</w:t>
            </w:r>
          </w:p>
          <w:p w:rsidR="00000000" w:rsidRPr="0004782A" w:rsidP="0004782A">
            <w:pPr>
              <w:pStyle w:val="ListBullet"/>
            </w:pPr>
            <w:r w:rsidRPr="0004782A">
              <w:t>hazards (and chemical reactive hazards) are assessed and controlled using hierarchy of hazard control</w:t>
            </w:r>
          </w:p>
          <w:p w:rsidR="00000000" w:rsidRPr="0004782A" w:rsidP="0004782A">
            <w:pPr>
              <w:pStyle w:val="ListBullet"/>
            </w:pPr>
            <w:r w:rsidRPr="0004782A">
              <w:t>properly maintained PPE is available</w:t>
            </w:r>
          </w:p>
          <w:p w:rsidR="00000000" w:rsidRPr="0004782A" w:rsidP="0004782A">
            <w:pPr>
              <w:pStyle w:val="ListBullet"/>
            </w:pPr>
            <w:r w:rsidRPr="0004782A">
              <w:t xml:space="preserve">emergency management plan </w:t>
            </w:r>
            <w:r w:rsidRPr="0004782A">
              <w:t>is documented/understood</w:t>
            </w:r>
          </w:p>
          <w:p w:rsidR="00000000" w:rsidRPr="0004782A" w:rsidP="0004782A">
            <w:pPr>
              <w:pStyle w:val="ListBullet"/>
            </w:pPr>
            <w:r w:rsidRPr="0004782A">
              <w:t xml:space="preserve">work to be undertaken in safe </w:t>
            </w:r>
            <w:r>
              <w:t>‘</w:t>
            </w:r>
            <w:r w:rsidRPr="0004782A">
              <w:t>thermal</w:t>
            </w:r>
            <w:r>
              <w:t>’</w:t>
            </w:r>
            <w:r w:rsidRPr="0004782A">
              <w:t xml:space="preserve"> environments and all possible ignition sources are to be identified and controlled</w:t>
            </w:r>
          </w:p>
          <w:p w:rsidR="00000000" w:rsidP="0004782A">
            <w:pPr>
              <w:pStyle w:val="BodyText"/>
              <w:rPr>
                <w:lang w:val="en-NZ"/>
              </w:rPr>
            </w:pPr>
          </w:p>
        </w:tc>
      </w:tr>
      <w:tr w:rsidTr="0004782A">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rPr>
                <w:rStyle w:val="SpecialBold"/>
              </w:rPr>
              <w:t>Storage includes the following:</w:t>
            </w:r>
            <w:r w:rsidRPr="0004782A">
              <w:t xml:space="preserve"> </w:t>
            </w:r>
          </w:p>
        </w:tc>
        <w:tc>
          <w:tcPr>
            <w:tcW w:w="6527" w:type="dxa"/>
            <w:tcBorders>
              <w:top w:val="nil"/>
              <w:left w:val="nil"/>
              <w:bottom w:val="nil"/>
              <w:right w:val="nil"/>
            </w:tcBorders>
            <w:tcMar>
              <w:top w:w="0" w:type="dxa"/>
              <w:left w:w="62" w:type="dxa"/>
              <w:bottom w:w="0" w:type="dxa"/>
              <w:right w:w="62" w:type="dxa"/>
            </w:tcMar>
          </w:tcPr>
          <w:p w:rsidR="00000000" w:rsidRPr="0004782A" w:rsidP="0004782A">
            <w:pPr>
              <w:pStyle w:val="ListBullet"/>
            </w:pPr>
            <w:r w:rsidRPr="0004782A">
              <w:t>only using containers, which includes minor quantities and those in consumer packages, that are suitable for chemical exposure</w:t>
            </w:r>
          </w:p>
          <w:p w:rsidR="00000000" w:rsidRPr="0004782A" w:rsidP="0004782A">
            <w:pPr>
              <w:pStyle w:val="ListBullet"/>
            </w:pPr>
            <w:r w:rsidRPr="0004782A">
              <w:t>labelling and/or placarding containers</w:t>
            </w:r>
          </w:p>
          <w:p w:rsidR="00000000" w:rsidRPr="0004782A" w:rsidP="0004782A">
            <w:pPr>
              <w:pStyle w:val="ListBullet"/>
            </w:pPr>
            <w:r w:rsidRPr="0004782A">
              <w:t>updating chemical manifests</w:t>
            </w:r>
          </w:p>
          <w:p w:rsidR="00000000" w:rsidP="0004782A">
            <w:pPr>
              <w:pStyle w:val="BodyText"/>
              <w:rPr>
                <w:lang w:val="en-NZ"/>
              </w:rPr>
            </w:pPr>
          </w:p>
        </w:tc>
      </w:tr>
      <w:tr w:rsidTr="0004782A">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04782A">
            <w:pPr>
              <w:pStyle w:val="BodyText"/>
              <w:rPr>
                <w:lang w:val="en-NZ"/>
              </w:rPr>
            </w:pPr>
            <w:r w:rsidRPr="0004782A">
              <w:rPr>
                <w:rStyle w:val="SpecialBold"/>
              </w:rPr>
              <w:t xml:space="preserve">State or territory legislative requirements include one (1) </w:t>
            </w:r>
            <w:r w:rsidRPr="0004782A">
              <w:rPr>
                <w:rStyle w:val="SpecialBold"/>
              </w:rPr>
              <w:t>or more of the following:</w:t>
            </w:r>
          </w:p>
        </w:tc>
        <w:tc>
          <w:tcPr>
            <w:tcW w:w="6527" w:type="dxa"/>
            <w:tcBorders>
              <w:top w:val="nil"/>
              <w:left w:val="nil"/>
              <w:bottom w:val="nil"/>
              <w:right w:val="nil"/>
            </w:tcBorders>
            <w:tcMar>
              <w:top w:w="0" w:type="dxa"/>
              <w:left w:w="62" w:type="dxa"/>
              <w:bottom w:w="0" w:type="dxa"/>
              <w:right w:w="62" w:type="dxa"/>
            </w:tcMar>
          </w:tcPr>
          <w:p w:rsidR="00000000" w:rsidRPr="0004782A" w:rsidP="0004782A">
            <w:pPr>
              <w:pStyle w:val="ListBullet"/>
            </w:pPr>
            <w:r w:rsidRPr="0004782A">
              <w:t>appropriate WHS</w:t>
            </w:r>
          </w:p>
          <w:p w:rsidR="00000000" w:rsidRPr="0004782A" w:rsidP="0004782A">
            <w:pPr>
              <w:pStyle w:val="ListBullet"/>
            </w:pPr>
            <w:r w:rsidRPr="0004782A">
              <w:t>dangerous goods acts and regulations</w:t>
            </w:r>
          </w:p>
          <w:p w:rsidR="00000000" w:rsidRPr="0004782A" w:rsidP="0004782A">
            <w:pPr>
              <w:pStyle w:val="ListBullet"/>
            </w:pPr>
            <w:r w:rsidRPr="0004782A">
              <w:t>Australian Standards</w:t>
            </w:r>
          </w:p>
          <w:p w:rsidR="00000000" w:rsidRPr="0004782A" w:rsidP="0004782A">
            <w:pPr>
              <w:pStyle w:val="ListBullet"/>
            </w:pPr>
            <w:r w:rsidRPr="0004782A">
              <w:t>Australian Code for the Transport of Dangerous Goods by Road and Rail (ADGC)</w:t>
            </w:r>
          </w:p>
          <w:p w:rsidR="00000000" w:rsidRPr="0004782A" w:rsidP="0004782A">
            <w:pPr>
              <w:pStyle w:val="ListBullet"/>
            </w:pPr>
            <w:r w:rsidRPr="0004782A">
              <w:t>Safe Work Australia codes of practice</w:t>
            </w:r>
          </w:p>
        </w:tc>
      </w:tr>
    </w:tbl>
    <w:p w:rsidR="00000000" w:rsidRPr="0004782A" w:rsidP="0004782A">
      <w:pPr>
        <w:pStyle w:val="BodyText"/>
      </w:pPr>
    </w:p>
    <w:p w:rsidR="00000000" w:rsidRPr="0004782A" w:rsidP="0004782A">
      <w:pPr>
        <w:pStyle w:val="AllowPageBreak"/>
      </w:pPr>
    </w:p>
    <w:p w:rsidR="00000000" w:rsidRPr="0004782A" w:rsidP="0004782A">
      <w:pPr>
        <w:pStyle w:val="Heading1"/>
      </w:pPr>
      <w:bookmarkStart w:id="8" w:name="O_948996"/>
      <w:bookmarkEnd w:id="8"/>
      <w:r w:rsidRPr="0004782A">
        <w:t>Unit Mapping Information</w:t>
      </w:r>
    </w:p>
    <w:p w:rsidR="00000000" w:rsidRPr="0004782A" w:rsidP="005F0F30">
      <w:pPr>
        <w:pStyle w:val="BodyText"/>
      </w:pPr>
      <w:r w:rsidRPr="0004782A">
        <w:t xml:space="preserve">Release 1. Supersedes and is equivalent to MEM13003B Work safely with industrial chemicals and materials </w:t>
      </w:r>
    </w:p>
    <w:p w:rsidR="00000000" w:rsidRPr="0004782A" w:rsidP="0004782A">
      <w:pPr>
        <w:pStyle w:val="Heading1"/>
      </w:pPr>
      <w:bookmarkStart w:id="9" w:name="O_948989"/>
      <w:bookmarkEnd w:id="9"/>
      <w:r w:rsidRPr="0004782A">
        <w:t>Links</w:t>
      </w:r>
    </w:p>
    <w:p w:rsidR="00000000" w:rsidRPr="0004782A" w:rsidP="005F0F30">
      <w:pPr>
        <w:pStyle w:val="BodyText"/>
      </w:pPr>
      <w:r w:rsidRPr="0004782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A4B61">
        <w:rPr>
          <w:rStyle w:val="Hyperlink"/>
        </w:rPr>
        <w:t>https://vetnet.gov.au/Pages/TrainingDocs.aspx?q=b7050d37-5fd0-4740-8f7d-3b7a49c10bb2</w:t>
      </w:r>
      <w:r>
        <w:fldChar w:fldCharType="end"/>
      </w:r>
    </w:p>
    <w:p w:rsidR="00000000" w:rsidRPr="0004782A" w:rsidP="0004782A"/>
    <w:sectPr w:rsidSect="000478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8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82A" w:rsidRPr="005F0F30" w:rsidP="005F0F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8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F30" w:rsidP="000478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0F30" w:rsidP="0004782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F0F30" w:rsidP="000478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8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F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782A" w:rsidRPr="005F0F30" w:rsidP="005F0F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8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F30" w:rsidRPr="002D2AF8" w:rsidP="0004782A">
    <w:pPr>
      <w:pStyle w:val="Header"/>
      <w:framePr w:wrap="around"/>
    </w:pPr>
    <w:r>
      <w:fldChar w:fldCharType="begin"/>
    </w:r>
    <w:r>
      <w:instrText xml:space="preserve"> TITLE   \* MERGEFORMAT </w:instrText>
    </w:r>
    <w:r>
      <w:fldChar w:fldCharType="separate"/>
    </w:r>
    <w:r>
      <w:t>MEM13003 Work safely with industrial chemicals and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5F0F30" w:rsidP="000478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0492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F8FC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8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782A"/>
    <w:pPr>
      <w:spacing w:before="360" w:after="60"/>
      <w:outlineLvl w:val="0"/>
    </w:pPr>
    <w:rPr>
      <w:sz w:val="32"/>
    </w:rPr>
  </w:style>
  <w:style w:type="paragraph" w:styleId="Heading2">
    <w:name w:val="heading 2"/>
    <w:basedOn w:val="HeadingBase"/>
    <w:next w:val="BodyText"/>
    <w:link w:val="Heading2Char"/>
    <w:qFormat/>
    <w:rsid w:val="0004782A"/>
    <w:pPr>
      <w:keepLines/>
      <w:spacing w:before="240" w:after="120"/>
      <w:outlineLvl w:val="1"/>
    </w:pPr>
    <w:rPr>
      <w:sz w:val="28"/>
      <w:szCs w:val="40"/>
    </w:rPr>
  </w:style>
  <w:style w:type="paragraph" w:styleId="Heading3">
    <w:name w:val="heading 3"/>
    <w:basedOn w:val="HeadingBase"/>
    <w:next w:val="BodyText"/>
    <w:link w:val="Heading3Char"/>
    <w:qFormat/>
    <w:rsid w:val="0004782A"/>
    <w:pPr>
      <w:spacing w:before="180" w:after="120"/>
      <w:outlineLvl w:val="2"/>
    </w:pPr>
    <w:rPr>
      <w:spacing w:val="-10"/>
      <w:kern w:val="32"/>
    </w:rPr>
  </w:style>
  <w:style w:type="paragraph" w:styleId="Heading4">
    <w:name w:val="heading 4"/>
    <w:basedOn w:val="HeadingBase"/>
    <w:next w:val="BodyText"/>
    <w:link w:val="Heading4Char"/>
    <w:qFormat/>
    <w:rsid w:val="0004782A"/>
    <w:pPr>
      <w:spacing w:before="160" w:after="120"/>
      <w:outlineLvl w:val="3"/>
    </w:pPr>
    <w:rPr>
      <w:sz w:val="22"/>
    </w:rPr>
  </w:style>
  <w:style w:type="paragraph" w:styleId="Heading5">
    <w:name w:val="heading 5"/>
    <w:basedOn w:val="HeadingBase"/>
    <w:next w:val="Normal"/>
    <w:link w:val="Heading5Char"/>
    <w:qFormat/>
    <w:rsid w:val="0004782A"/>
    <w:pPr>
      <w:spacing w:before="80"/>
      <w:outlineLvl w:val="4"/>
    </w:pPr>
    <w:rPr>
      <w:color w:val="918585"/>
      <w:sz w:val="20"/>
    </w:rPr>
  </w:style>
  <w:style w:type="paragraph" w:styleId="Heading6">
    <w:name w:val="heading 6"/>
    <w:basedOn w:val="HeadingBase"/>
    <w:next w:val="Normal"/>
    <w:link w:val="Heading6Char"/>
    <w:qFormat/>
    <w:rsid w:val="0004782A"/>
    <w:pPr>
      <w:spacing w:before="60"/>
      <w:outlineLvl w:val="5"/>
    </w:pPr>
    <w:rPr>
      <w:color w:val="918585"/>
      <w:sz w:val="20"/>
    </w:rPr>
  </w:style>
  <w:style w:type="paragraph" w:styleId="Heading7">
    <w:name w:val="heading 7"/>
    <w:basedOn w:val="Normal"/>
    <w:next w:val="Normal"/>
    <w:link w:val="Heading7Char"/>
    <w:qFormat/>
    <w:rsid w:val="0004782A"/>
    <w:pPr>
      <w:ind w:left="720"/>
      <w:outlineLvl w:val="6"/>
    </w:pPr>
    <w:rPr>
      <w:i/>
    </w:rPr>
  </w:style>
  <w:style w:type="paragraph" w:styleId="Heading8">
    <w:name w:val="heading 8"/>
    <w:basedOn w:val="Normal"/>
    <w:next w:val="Normal"/>
    <w:link w:val="Heading8Char"/>
    <w:qFormat/>
    <w:rsid w:val="0004782A"/>
    <w:pPr>
      <w:ind w:left="720"/>
      <w:outlineLvl w:val="7"/>
    </w:pPr>
    <w:rPr>
      <w:i/>
    </w:rPr>
  </w:style>
  <w:style w:type="paragraph" w:styleId="Heading9">
    <w:name w:val="heading 9"/>
    <w:basedOn w:val="Normal"/>
    <w:next w:val="Normal"/>
    <w:link w:val="Heading9Char"/>
    <w:qFormat/>
    <w:rsid w:val="0004782A"/>
    <w:pPr>
      <w:ind w:left="720"/>
      <w:outlineLvl w:val="8"/>
    </w:pPr>
    <w:rPr>
      <w:i/>
    </w:rPr>
  </w:style>
  <w:style w:type="character" w:default="1" w:styleId="DefaultParagraphFont">
    <w:name w:val="Default Paragraph Font"/>
    <w:uiPriority w:val="1"/>
    <w:unhideWhenUsed/>
    <w:rsid w:val="000478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782A"/>
  </w:style>
  <w:style w:type="character" w:customStyle="1" w:styleId="Heading1Char">
    <w:name w:val="Heading 1 Char"/>
    <w:basedOn w:val="DefaultParagraphFont"/>
    <w:link w:val="Heading1"/>
    <w:rsid w:val="0004782A"/>
    <w:rPr>
      <w:rFonts w:ascii="Times New Roman" w:eastAsia="Times New Roman" w:hAnsi="Times New Roman" w:cs="Times New Roman"/>
      <w:b/>
      <w:sz w:val="32"/>
      <w:szCs w:val="20"/>
      <w:lang w:eastAsia="en-US"/>
    </w:rPr>
  </w:style>
  <w:style w:type="paragraph" w:styleId="BodyText">
    <w:name w:val="Body Text"/>
    <w:basedOn w:val="Normal"/>
    <w:link w:val="BodyTextChar"/>
    <w:rsid w:val="000478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782A"/>
    <w:rPr>
      <w:rFonts w:ascii="Times New Roman" w:eastAsia="Times New Roman" w:hAnsi="Times New Roman" w:cs="Times New Roman"/>
      <w:sz w:val="24"/>
      <w:lang w:eastAsia="en-US"/>
    </w:rPr>
  </w:style>
  <w:style w:type="paragraph" w:styleId="ListBullet">
    <w:name w:val="List Bullet"/>
    <w:basedOn w:val="List"/>
    <w:rsid w:val="0004782A"/>
    <w:pPr>
      <w:numPr>
        <w:numId w:val="11"/>
      </w:numPr>
      <w:tabs>
        <w:tab w:val="clear" w:pos="340"/>
      </w:tabs>
      <w:spacing w:before="40" w:after="40"/>
    </w:pPr>
  </w:style>
  <w:style w:type="character" w:customStyle="1" w:styleId="SpecialBold">
    <w:name w:val="Special Bold"/>
    <w:basedOn w:val="DefaultParagraphFont"/>
    <w:rsid w:val="0004782A"/>
    <w:rPr>
      <w:b/>
      <w:spacing w:val="0"/>
    </w:rPr>
  </w:style>
  <w:style w:type="paragraph" w:customStyle="1" w:styleId="SuperHeading">
    <w:name w:val="SuperHeading"/>
    <w:basedOn w:val="Normal"/>
    <w:rsid w:val="0004782A"/>
    <w:pPr>
      <w:spacing w:before="240" w:after="120"/>
      <w:outlineLvl w:val="0"/>
    </w:pPr>
    <w:rPr>
      <w:rFonts w:ascii="Times New Roman" w:hAnsi="Times New Roman"/>
      <w:b/>
      <w:sz w:val="32"/>
    </w:rPr>
  </w:style>
  <w:style w:type="paragraph" w:customStyle="1" w:styleId="AllowPageBreak">
    <w:name w:val="AllowPageBreak"/>
    <w:rsid w:val="0004782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782A"/>
    <w:pPr>
      <w:tabs>
        <w:tab w:val="left" w:pos="680"/>
      </w:tabs>
      <w:spacing w:before="60" w:after="60"/>
      <w:ind w:left="680" w:hanging="340"/>
    </w:pPr>
  </w:style>
  <w:style w:type="character" w:customStyle="1" w:styleId="Heading2Char">
    <w:name w:val="Heading 2 Char"/>
    <w:basedOn w:val="DefaultParagraphFont"/>
    <w:link w:val="Heading2"/>
    <w:rsid w:val="000478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78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78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78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78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78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78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782A"/>
    <w:rPr>
      <w:rFonts w:ascii="Courier New" w:eastAsia="Times New Roman" w:hAnsi="Courier New" w:cs="Times New Roman"/>
      <w:i/>
      <w:szCs w:val="20"/>
      <w:lang w:eastAsia="en-US"/>
    </w:rPr>
  </w:style>
  <w:style w:type="paragraph" w:customStyle="1" w:styleId="HeadingBase">
    <w:name w:val="Heading Base"/>
    <w:rsid w:val="000478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782A"/>
    <w:pPr>
      <w:tabs>
        <w:tab w:val="right" w:leader="dot" w:pos="9072"/>
      </w:tabs>
      <w:ind w:left="567"/>
    </w:pPr>
    <w:rPr>
      <w:szCs w:val="22"/>
    </w:rPr>
  </w:style>
  <w:style w:type="paragraph" w:customStyle="1" w:styleId="TOCBase">
    <w:name w:val="TOC Base"/>
    <w:rsid w:val="000478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782A"/>
    <w:pPr>
      <w:tabs>
        <w:tab w:val="right" w:leader="dot" w:pos="9072"/>
      </w:tabs>
      <w:spacing w:before="40" w:after="40"/>
      <w:ind w:left="284"/>
    </w:pPr>
    <w:rPr>
      <w:rFonts w:ascii="Times New Roman" w:hAnsi="Times New Roman"/>
    </w:rPr>
  </w:style>
  <w:style w:type="paragraph" w:styleId="TOC1">
    <w:name w:val="toc 1"/>
    <w:basedOn w:val="TOCBase"/>
    <w:next w:val="Normal"/>
    <w:rsid w:val="000478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78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782A"/>
    <w:rPr>
      <w:rFonts w:ascii="Times New Roman" w:eastAsia="Times New Roman" w:hAnsi="Times New Roman" w:cs="Times New Roman"/>
      <w:sz w:val="16"/>
      <w:lang w:eastAsia="en-US"/>
    </w:rPr>
  </w:style>
  <w:style w:type="paragraph" w:styleId="Title">
    <w:name w:val="Title"/>
    <w:basedOn w:val="HeadingBase"/>
    <w:link w:val="TitleChar"/>
    <w:qFormat/>
    <w:rsid w:val="0004782A"/>
    <w:pPr>
      <w:spacing w:before="5040"/>
      <w:jc w:val="center"/>
    </w:pPr>
    <w:rPr>
      <w:sz w:val="48"/>
      <w:szCs w:val="72"/>
      <w:lang w:val="en-US"/>
    </w:rPr>
  </w:style>
  <w:style w:type="character" w:customStyle="1" w:styleId="TitleChar">
    <w:name w:val="Title Char"/>
    <w:basedOn w:val="DefaultParagraphFont"/>
    <w:link w:val="Title"/>
    <w:rsid w:val="000478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782A"/>
    <w:pPr>
      <w:tabs>
        <w:tab w:val="left" w:pos="3600"/>
        <w:tab w:val="left" w:pos="3958"/>
      </w:tabs>
    </w:pPr>
  </w:style>
  <w:style w:type="paragraph" w:styleId="List">
    <w:name w:val="List"/>
    <w:basedOn w:val="BodyText"/>
    <w:next w:val="BodyText"/>
    <w:rsid w:val="0004782A"/>
    <w:pPr>
      <w:tabs>
        <w:tab w:val="left" w:pos="340"/>
      </w:tabs>
      <w:spacing w:before="60" w:after="60"/>
      <w:ind w:left="340" w:hanging="340"/>
    </w:pPr>
  </w:style>
  <w:style w:type="paragraph" w:customStyle="1" w:styleId="Note">
    <w:name w:val="Note"/>
    <w:basedOn w:val="BodyText"/>
    <w:rsid w:val="000478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782A"/>
    <w:pPr>
      <w:framePr w:wrap="auto" w:hAnchor="text" w:y="6049"/>
    </w:pPr>
    <w:rPr>
      <w:color w:val="000000"/>
      <w:sz w:val="40"/>
    </w:rPr>
  </w:style>
  <w:style w:type="paragraph" w:customStyle="1" w:styleId="TOCTitle">
    <w:name w:val="TOCTitle"/>
    <w:basedOn w:val="Heading1"/>
    <w:rsid w:val="0004782A"/>
    <w:pPr>
      <w:spacing w:after="240"/>
      <w:jc w:val="center"/>
      <w:outlineLvl w:val="9"/>
    </w:pPr>
    <w:rPr>
      <w:caps/>
    </w:rPr>
  </w:style>
  <w:style w:type="paragraph" w:customStyle="1" w:styleId="Version">
    <w:name w:val="Version"/>
    <w:rsid w:val="000478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782A"/>
    <w:pPr>
      <w:numPr>
        <w:numId w:val="12"/>
      </w:numPr>
      <w:tabs>
        <w:tab w:val="clear" w:pos="680"/>
      </w:tabs>
    </w:pPr>
  </w:style>
  <w:style w:type="paragraph" w:styleId="Index1">
    <w:name w:val="index 1"/>
    <w:basedOn w:val="Normal"/>
    <w:next w:val="Normal"/>
    <w:semiHidden/>
    <w:rsid w:val="0004782A"/>
    <w:pPr>
      <w:keepNext w:val="0"/>
      <w:tabs>
        <w:tab w:val="right" w:pos="4176"/>
      </w:tabs>
      <w:ind w:left="198" w:hanging="198"/>
    </w:pPr>
    <w:rPr>
      <w:rFonts w:ascii="Garamond" w:hAnsi="Garamond"/>
    </w:rPr>
  </w:style>
  <w:style w:type="paragraph" w:styleId="IndexHeading">
    <w:name w:val="index heading"/>
    <w:basedOn w:val="Normal"/>
    <w:next w:val="Index1"/>
    <w:semiHidden/>
    <w:rsid w:val="0004782A"/>
    <w:pPr>
      <w:spacing w:before="120" w:after="120"/>
    </w:pPr>
    <w:rPr>
      <w:rFonts w:ascii="Arial" w:hAnsi="Arial"/>
      <w:b/>
      <w:color w:val="918585"/>
      <w:sz w:val="24"/>
    </w:rPr>
  </w:style>
  <w:style w:type="paragraph" w:styleId="Header">
    <w:name w:val="header"/>
    <w:basedOn w:val="Normal"/>
    <w:link w:val="HeaderChar"/>
    <w:rsid w:val="000478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782A"/>
    <w:rPr>
      <w:rFonts w:ascii="Times New Roman" w:eastAsia="Times New Roman" w:hAnsi="Times New Roman" w:cs="Times New Roman"/>
      <w:sz w:val="16"/>
      <w:szCs w:val="20"/>
      <w:lang w:val="en-GB" w:eastAsia="en-US"/>
    </w:rPr>
  </w:style>
  <w:style w:type="paragraph" w:customStyle="1" w:styleId="Chapter">
    <w:name w:val="Chapter"/>
    <w:basedOn w:val="Normal"/>
    <w:rsid w:val="0004782A"/>
    <w:pPr>
      <w:spacing w:before="240"/>
    </w:pPr>
    <w:rPr>
      <w:rFonts w:ascii="Times New Roman" w:hAnsi="Times New Roman"/>
      <w:smallCaps/>
      <w:spacing w:val="80"/>
      <w:sz w:val="28"/>
    </w:rPr>
  </w:style>
  <w:style w:type="paragraph" w:customStyle="1" w:styleId="InChapter">
    <w:name w:val="InChapter"/>
    <w:basedOn w:val="Heading3"/>
    <w:rsid w:val="0004782A"/>
    <w:pPr>
      <w:spacing w:after="240"/>
      <w:outlineLvl w:val="9"/>
    </w:pPr>
    <w:rPr>
      <w:noProof/>
    </w:rPr>
  </w:style>
  <w:style w:type="paragraph" w:styleId="Index2">
    <w:name w:val="index 2"/>
    <w:basedOn w:val="Normal"/>
    <w:next w:val="Normal"/>
    <w:semiHidden/>
    <w:rsid w:val="0004782A"/>
    <w:pPr>
      <w:tabs>
        <w:tab w:val="right" w:pos="4176"/>
      </w:tabs>
      <w:ind w:left="568" w:hanging="284"/>
    </w:pPr>
    <w:rPr>
      <w:rFonts w:ascii="Garamond" w:hAnsi="Garamond"/>
    </w:rPr>
  </w:style>
  <w:style w:type="paragraph" w:customStyle="1" w:styleId="Byline">
    <w:name w:val="Byline"/>
    <w:rsid w:val="000478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782A"/>
    <w:pPr>
      <w:tabs>
        <w:tab w:val="clear" w:pos="3600"/>
        <w:tab w:val="clear" w:pos="3958"/>
      </w:tabs>
      <w:jc w:val="right"/>
    </w:pPr>
  </w:style>
  <w:style w:type="character" w:styleId="Emphasis">
    <w:name w:val="Emphasis"/>
    <w:basedOn w:val="DefaultParagraphFont"/>
    <w:qFormat/>
    <w:rsid w:val="0004782A"/>
    <w:rPr>
      <w:i/>
    </w:rPr>
  </w:style>
  <w:style w:type="paragraph" w:styleId="Caption">
    <w:name w:val="caption"/>
    <w:basedOn w:val="BodyText"/>
    <w:next w:val="Normal"/>
    <w:qFormat/>
    <w:rsid w:val="0004782A"/>
    <w:pPr>
      <w:framePr w:w="2268" w:hSpace="181" w:vSpace="181" w:wrap="around" w:vAnchor="text" w:hAnchor="page" w:x="1135" w:y="285" w:anchorLock="1"/>
    </w:pPr>
    <w:rPr>
      <w:i/>
    </w:rPr>
  </w:style>
  <w:style w:type="paragraph" w:customStyle="1" w:styleId="MiniTOCTitle">
    <w:name w:val="MiniTOCTitle"/>
    <w:basedOn w:val="Heading4"/>
    <w:rsid w:val="0004782A"/>
    <w:pPr>
      <w:spacing w:before="240"/>
      <w:outlineLvl w:val="9"/>
    </w:pPr>
    <w:rPr>
      <w:noProof/>
      <w:sz w:val="24"/>
    </w:rPr>
  </w:style>
  <w:style w:type="paragraph" w:customStyle="1" w:styleId="MiniTOCItem">
    <w:name w:val="MiniTOCItem"/>
    <w:basedOn w:val="ListBullet"/>
    <w:rsid w:val="0004782A"/>
    <w:pPr>
      <w:numPr>
        <w:numId w:val="0"/>
      </w:numPr>
      <w:tabs>
        <w:tab w:val="right" w:leader="dot" w:pos="6521"/>
      </w:tabs>
      <w:spacing w:before="0" w:after="0"/>
    </w:pPr>
  </w:style>
  <w:style w:type="paragraph" w:customStyle="1" w:styleId="TOFTitle">
    <w:name w:val="TOFTitle"/>
    <w:basedOn w:val="TOCTitle"/>
    <w:rsid w:val="0004782A"/>
  </w:style>
  <w:style w:type="paragraph" w:styleId="TableofFigures">
    <w:name w:val="table of figures"/>
    <w:basedOn w:val="Normal"/>
    <w:next w:val="Normal"/>
    <w:semiHidden/>
    <w:rsid w:val="0004782A"/>
    <w:pPr>
      <w:tabs>
        <w:tab w:val="right" w:leader="dot" w:pos="9072"/>
      </w:tabs>
      <w:ind w:left="970" w:hanging="403"/>
    </w:pPr>
    <w:rPr>
      <w:rFonts w:ascii="Times New Roman" w:hAnsi="Times New Roman"/>
      <w:b/>
    </w:rPr>
  </w:style>
  <w:style w:type="paragraph" w:styleId="ListNumber">
    <w:name w:val="List Number"/>
    <w:basedOn w:val="List"/>
    <w:rsid w:val="0004782A"/>
    <w:pPr>
      <w:numPr>
        <w:numId w:val="14"/>
      </w:numPr>
      <w:tabs>
        <w:tab w:val="clear" w:pos="340"/>
      </w:tabs>
    </w:pPr>
  </w:style>
  <w:style w:type="character" w:customStyle="1" w:styleId="WingdingSymbols">
    <w:name w:val="Wingding Symbols"/>
    <w:rsid w:val="0004782A"/>
    <w:rPr>
      <w:rFonts w:ascii="Wingdings" w:hAnsi="Wingdings"/>
    </w:rPr>
  </w:style>
  <w:style w:type="paragraph" w:customStyle="1" w:styleId="TableHeading">
    <w:name w:val="Table Heading"/>
    <w:basedOn w:val="HeadingBase"/>
    <w:rsid w:val="0004782A"/>
    <w:pPr>
      <w:keepLines/>
      <w:pBdr>
        <w:bottom w:val="single" w:sz="6" w:space="1" w:color="918585"/>
      </w:pBdr>
      <w:spacing w:before="240"/>
    </w:pPr>
  </w:style>
  <w:style w:type="character" w:customStyle="1" w:styleId="HotSpot">
    <w:name w:val="HotSpot"/>
    <w:rsid w:val="0004782A"/>
    <w:rPr>
      <w:color w:val="0033CC"/>
      <w:u w:val="none"/>
    </w:rPr>
  </w:style>
  <w:style w:type="paragraph" w:customStyle="1" w:styleId="BodyTextRight">
    <w:name w:val="Body Text Right"/>
    <w:basedOn w:val="BodyText"/>
    <w:rsid w:val="0004782A"/>
    <w:pPr>
      <w:spacing w:before="0" w:after="0"/>
      <w:jc w:val="right"/>
    </w:pPr>
  </w:style>
  <w:style w:type="paragraph" w:styleId="Index3">
    <w:name w:val="index 3"/>
    <w:basedOn w:val="ListNumber2"/>
    <w:next w:val="Normal"/>
    <w:semiHidden/>
    <w:rsid w:val="0004782A"/>
    <w:pPr>
      <w:numPr>
        <w:numId w:val="0"/>
      </w:numPr>
      <w:tabs>
        <w:tab w:val="right" w:leader="dot" w:pos="4176"/>
      </w:tabs>
    </w:pPr>
  </w:style>
  <w:style w:type="paragraph" w:styleId="ListNumber2">
    <w:name w:val="List Number 2"/>
    <w:basedOn w:val="List2"/>
    <w:rsid w:val="0004782A"/>
    <w:pPr>
      <w:numPr>
        <w:numId w:val="9"/>
      </w:numPr>
      <w:tabs>
        <w:tab w:val="clear" w:pos="1060"/>
      </w:tabs>
    </w:pPr>
  </w:style>
  <w:style w:type="paragraph" w:customStyle="1" w:styleId="MarginNote">
    <w:name w:val="Margin Note"/>
    <w:basedOn w:val="BodyText"/>
    <w:rsid w:val="000478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78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78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782A"/>
    <w:rPr>
      <w:sz w:val="32"/>
    </w:rPr>
  </w:style>
  <w:style w:type="paragraph" w:customStyle="1" w:styleId="HeadingProcedure">
    <w:name w:val="Heading Procedure"/>
    <w:basedOn w:val="HeadingBase"/>
    <w:next w:val="Normal"/>
    <w:rsid w:val="0004782A"/>
    <w:pPr>
      <w:tabs>
        <w:tab w:val="left" w:pos="0"/>
      </w:tabs>
      <w:spacing w:before="120" w:after="60"/>
    </w:pPr>
    <w:rPr>
      <w:i/>
      <w:color w:val="918585"/>
      <w:sz w:val="22"/>
    </w:rPr>
  </w:style>
  <w:style w:type="paragraph" w:customStyle="1" w:styleId="TableBodyText">
    <w:name w:val="Table Body Text"/>
    <w:basedOn w:val="BodyText"/>
    <w:rsid w:val="0004782A"/>
    <w:pPr>
      <w:spacing w:before="60" w:after="60"/>
    </w:pPr>
  </w:style>
  <w:style w:type="paragraph" w:styleId="ListContinue">
    <w:name w:val="List Continue"/>
    <w:basedOn w:val="List"/>
    <w:rsid w:val="0004782A"/>
    <w:pPr>
      <w:ind w:firstLine="0"/>
    </w:pPr>
  </w:style>
  <w:style w:type="paragraph" w:customStyle="1" w:styleId="ListNote">
    <w:name w:val="List Note"/>
    <w:basedOn w:val="List"/>
    <w:rsid w:val="0004782A"/>
    <w:pPr>
      <w:pBdr>
        <w:top w:val="single" w:sz="6" w:space="2" w:color="918585"/>
        <w:bottom w:val="single" w:sz="6" w:space="2" w:color="918585"/>
      </w:pBdr>
      <w:tabs>
        <w:tab w:val="left" w:pos="1021"/>
      </w:tabs>
      <w:ind w:firstLine="0"/>
    </w:pPr>
  </w:style>
  <w:style w:type="paragraph" w:customStyle="1" w:styleId="Warning">
    <w:name w:val="Warning"/>
    <w:basedOn w:val="BodyText"/>
    <w:rsid w:val="0004782A"/>
    <w:pPr>
      <w:shd w:val="clear" w:color="auto" w:fill="D9D9D9"/>
      <w:tabs>
        <w:tab w:val="left" w:pos="992"/>
      </w:tabs>
      <w:ind w:left="119" w:right="119"/>
    </w:pPr>
    <w:rPr>
      <w:sz w:val="20"/>
    </w:rPr>
  </w:style>
  <w:style w:type="paragraph" w:customStyle="1" w:styleId="MarginIcons">
    <w:name w:val="Margin Icons"/>
    <w:basedOn w:val="BodyText"/>
    <w:rsid w:val="000478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782A"/>
    <w:rPr>
      <w:rFonts w:ascii="Courier New" w:hAnsi="Courier New"/>
    </w:rPr>
  </w:style>
  <w:style w:type="paragraph" w:customStyle="1" w:styleId="NoteBullet">
    <w:name w:val="Note Bullet"/>
    <w:basedOn w:val="Note"/>
    <w:rsid w:val="0004782A"/>
    <w:pPr>
      <w:tabs>
        <w:tab w:val="clear" w:pos="680"/>
      </w:tabs>
      <w:spacing w:before="60" w:after="60"/>
    </w:pPr>
  </w:style>
  <w:style w:type="paragraph" w:customStyle="1" w:styleId="SubHeading2">
    <w:name w:val="SubHeading2"/>
    <w:basedOn w:val="HeadingBase"/>
    <w:rsid w:val="0004782A"/>
    <w:pPr>
      <w:spacing w:before="240" w:after="60"/>
    </w:pPr>
    <w:rPr>
      <w:sz w:val="20"/>
    </w:rPr>
  </w:style>
  <w:style w:type="paragraph" w:customStyle="1" w:styleId="SubHeading1">
    <w:name w:val="SubHeading1"/>
    <w:basedOn w:val="HeadingBase"/>
    <w:rsid w:val="0004782A"/>
    <w:pPr>
      <w:spacing w:before="240" w:after="60"/>
    </w:pPr>
    <w:rPr>
      <w:color w:val="918585"/>
      <w:sz w:val="22"/>
    </w:rPr>
  </w:style>
  <w:style w:type="paragraph" w:customStyle="1" w:styleId="SideHeading">
    <w:name w:val="Side Heading"/>
    <w:basedOn w:val="HeadingBase"/>
    <w:rsid w:val="000478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782A"/>
    <w:pPr>
      <w:numPr>
        <w:numId w:val="10"/>
      </w:numPr>
    </w:pPr>
  </w:style>
  <w:style w:type="paragraph" w:styleId="PlainText">
    <w:name w:val="Plain Text"/>
    <w:basedOn w:val="Normal"/>
    <w:link w:val="PlainTextChar"/>
    <w:rsid w:val="0004782A"/>
    <w:rPr>
      <w:sz w:val="20"/>
    </w:rPr>
  </w:style>
  <w:style w:type="character" w:customStyle="1" w:styleId="PlainTextChar">
    <w:name w:val="Plain Text Char"/>
    <w:basedOn w:val="DefaultParagraphFont"/>
    <w:link w:val="PlainText"/>
    <w:rsid w:val="0004782A"/>
    <w:rPr>
      <w:rFonts w:ascii="Courier New" w:eastAsia="Times New Roman" w:hAnsi="Courier New" w:cs="Times New Roman"/>
      <w:sz w:val="20"/>
      <w:szCs w:val="20"/>
      <w:lang w:eastAsia="en-US"/>
    </w:rPr>
  </w:style>
  <w:style w:type="character" w:customStyle="1" w:styleId="MenuOption">
    <w:name w:val="Menu Option"/>
    <w:basedOn w:val="DefaultParagraphFont"/>
    <w:rsid w:val="0004782A"/>
    <w:rPr>
      <w:b/>
      <w:smallCaps/>
    </w:rPr>
  </w:style>
  <w:style w:type="paragraph" w:customStyle="1" w:styleId="TableListNumber">
    <w:name w:val="Table List Number"/>
    <w:basedOn w:val="ListNumber"/>
    <w:rsid w:val="0004782A"/>
    <w:pPr>
      <w:numPr>
        <w:numId w:val="0"/>
      </w:numPr>
    </w:pPr>
  </w:style>
  <w:style w:type="paragraph" w:styleId="TOC4">
    <w:name w:val="toc 4"/>
    <w:basedOn w:val="TOCBase"/>
    <w:next w:val="Normal"/>
    <w:semiHidden/>
    <w:rsid w:val="0004782A"/>
    <w:pPr>
      <w:tabs>
        <w:tab w:val="right" w:leader="dot" w:pos="9071"/>
      </w:tabs>
      <w:ind w:left="1701"/>
    </w:pPr>
  </w:style>
  <w:style w:type="paragraph" w:customStyle="1" w:styleId="ListAlpha">
    <w:name w:val="List Alpha"/>
    <w:basedOn w:val="List"/>
    <w:rsid w:val="0004782A"/>
    <w:pPr>
      <w:numPr>
        <w:numId w:val="8"/>
      </w:numPr>
    </w:pPr>
  </w:style>
  <w:style w:type="paragraph" w:customStyle="1" w:styleId="ListAlpha2">
    <w:name w:val="List Alpha 2"/>
    <w:basedOn w:val="List2"/>
    <w:rsid w:val="0004782A"/>
    <w:pPr>
      <w:numPr>
        <w:numId w:val="7"/>
      </w:numPr>
    </w:pPr>
  </w:style>
  <w:style w:type="paragraph" w:styleId="List3">
    <w:name w:val="List 3"/>
    <w:basedOn w:val="BodyText"/>
    <w:rsid w:val="0004782A"/>
    <w:pPr>
      <w:tabs>
        <w:tab w:val="left" w:pos="1021"/>
      </w:tabs>
      <w:spacing w:before="60" w:after="60"/>
      <w:ind w:left="1020" w:hanging="340"/>
    </w:pPr>
  </w:style>
  <w:style w:type="paragraph" w:styleId="List4">
    <w:name w:val="List 4"/>
    <w:basedOn w:val="BodyText"/>
    <w:rsid w:val="0004782A"/>
    <w:pPr>
      <w:tabs>
        <w:tab w:val="left" w:pos="1361"/>
      </w:tabs>
      <w:spacing w:before="60" w:after="60"/>
      <w:ind w:left="1361" w:hanging="340"/>
    </w:pPr>
  </w:style>
  <w:style w:type="paragraph" w:styleId="List5">
    <w:name w:val="List 5"/>
    <w:basedOn w:val="BodyText"/>
    <w:rsid w:val="0004782A"/>
    <w:pPr>
      <w:tabs>
        <w:tab w:val="left" w:pos="1701"/>
      </w:tabs>
      <w:spacing w:before="60" w:after="60"/>
      <w:ind w:left="1701" w:hanging="340"/>
    </w:pPr>
  </w:style>
  <w:style w:type="paragraph" w:styleId="ListBullet3">
    <w:name w:val="List Bullet 3"/>
    <w:basedOn w:val="List3"/>
    <w:rsid w:val="0004782A"/>
    <w:pPr>
      <w:numPr>
        <w:numId w:val="13"/>
      </w:numPr>
      <w:tabs>
        <w:tab w:val="clear" w:pos="1021"/>
      </w:tabs>
      <w:ind w:left="1037" w:hanging="357"/>
    </w:pPr>
  </w:style>
  <w:style w:type="paragraph" w:styleId="ListBullet4">
    <w:name w:val="List Bullet 4"/>
    <w:basedOn w:val="List4"/>
    <w:rsid w:val="0004782A"/>
    <w:pPr>
      <w:numPr>
        <w:numId w:val="2"/>
      </w:numPr>
      <w:tabs>
        <w:tab w:val="clear" w:pos="1361"/>
      </w:tabs>
    </w:pPr>
  </w:style>
  <w:style w:type="paragraph" w:styleId="ListBullet5">
    <w:name w:val="List Bullet 5"/>
    <w:basedOn w:val="List5"/>
    <w:rsid w:val="0004782A"/>
    <w:pPr>
      <w:numPr>
        <w:numId w:val="3"/>
      </w:numPr>
    </w:pPr>
  </w:style>
  <w:style w:type="paragraph" w:styleId="ListContinue2">
    <w:name w:val="List Continue 2"/>
    <w:basedOn w:val="List2"/>
    <w:rsid w:val="0004782A"/>
    <w:pPr>
      <w:ind w:firstLine="0"/>
    </w:pPr>
  </w:style>
  <w:style w:type="paragraph" w:styleId="ListContinue3">
    <w:name w:val="List Continue 3"/>
    <w:basedOn w:val="List3"/>
    <w:rsid w:val="0004782A"/>
    <w:pPr>
      <w:ind w:left="1021" w:firstLine="0"/>
    </w:pPr>
  </w:style>
  <w:style w:type="paragraph" w:styleId="ListContinue4">
    <w:name w:val="List Continue 4"/>
    <w:basedOn w:val="List4"/>
    <w:rsid w:val="0004782A"/>
    <w:pPr>
      <w:ind w:firstLine="0"/>
    </w:pPr>
  </w:style>
  <w:style w:type="paragraph" w:styleId="ListContinue5">
    <w:name w:val="List Continue 5"/>
    <w:basedOn w:val="List5"/>
    <w:rsid w:val="0004782A"/>
    <w:pPr>
      <w:ind w:firstLine="0"/>
    </w:pPr>
  </w:style>
  <w:style w:type="paragraph" w:styleId="ListNumber3">
    <w:name w:val="List Number 3"/>
    <w:basedOn w:val="List3"/>
    <w:rsid w:val="0004782A"/>
    <w:pPr>
      <w:numPr>
        <w:numId w:val="4"/>
      </w:numPr>
    </w:pPr>
  </w:style>
  <w:style w:type="paragraph" w:styleId="ListNumber4">
    <w:name w:val="List Number 4"/>
    <w:basedOn w:val="List4"/>
    <w:rsid w:val="0004782A"/>
    <w:pPr>
      <w:numPr>
        <w:numId w:val="5"/>
      </w:numPr>
    </w:pPr>
  </w:style>
  <w:style w:type="paragraph" w:styleId="ListNumber5">
    <w:name w:val="List Number 5"/>
    <w:basedOn w:val="List5"/>
    <w:rsid w:val="0004782A"/>
    <w:pPr>
      <w:numPr>
        <w:numId w:val="6"/>
      </w:numPr>
    </w:pPr>
  </w:style>
  <w:style w:type="paragraph" w:styleId="BlockText">
    <w:name w:val="Block Text"/>
    <w:basedOn w:val="Normal"/>
    <w:rsid w:val="0004782A"/>
    <w:pPr>
      <w:spacing w:after="120"/>
      <w:ind w:left="1440" w:right="1440"/>
    </w:pPr>
  </w:style>
  <w:style w:type="character" w:customStyle="1" w:styleId="Subscript">
    <w:name w:val="Subscript"/>
    <w:basedOn w:val="DefaultParagraphFont"/>
    <w:rsid w:val="0004782A"/>
    <w:rPr>
      <w:sz w:val="16"/>
      <w:vertAlign w:val="subscript"/>
    </w:rPr>
  </w:style>
  <w:style w:type="character" w:customStyle="1" w:styleId="Superscript">
    <w:name w:val="Superscript"/>
    <w:basedOn w:val="DefaultParagraphFont"/>
    <w:rsid w:val="0004782A"/>
    <w:rPr>
      <w:sz w:val="16"/>
      <w:vertAlign w:val="superscript"/>
    </w:rPr>
  </w:style>
  <w:style w:type="character" w:customStyle="1" w:styleId="Symbols">
    <w:name w:val="Symbols"/>
    <w:basedOn w:val="DefaultParagraphFont"/>
    <w:rsid w:val="0004782A"/>
    <w:rPr>
      <w:rFonts w:ascii="Symbol" w:hAnsi="Symbol"/>
    </w:rPr>
  </w:style>
  <w:style w:type="character" w:customStyle="1" w:styleId="MenuOptions">
    <w:name w:val="Menu Options"/>
    <w:basedOn w:val="DefaultParagraphFont"/>
    <w:rsid w:val="0004782A"/>
    <w:rPr>
      <w:rFonts w:ascii="Arial Narrow" w:hAnsi="Arial Narrow"/>
      <w:smallCaps/>
    </w:rPr>
  </w:style>
  <w:style w:type="character" w:customStyle="1" w:styleId="Buttons">
    <w:name w:val="Buttons"/>
    <w:basedOn w:val="DefaultParagraphFont"/>
    <w:rsid w:val="0004782A"/>
    <w:rPr>
      <w:b/>
    </w:rPr>
  </w:style>
  <w:style w:type="character" w:customStyle="1" w:styleId="Underlined">
    <w:name w:val="Underlined"/>
    <w:basedOn w:val="DefaultParagraphFont"/>
    <w:rsid w:val="0004782A"/>
    <w:rPr>
      <w:u w:val="single"/>
    </w:rPr>
  </w:style>
  <w:style w:type="paragraph" w:customStyle="1" w:styleId="TableBodyTextRight">
    <w:name w:val="Table Body Text Right"/>
    <w:basedOn w:val="TableBodyText"/>
    <w:rsid w:val="0004782A"/>
    <w:pPr>
      <w:widowControl w:val="0"/>
      <w:autoSpaceDE w:val="0"/>
      <w:autoSpaceDN w:val="0"/>
      <w:adjustRightInd w:val="0"/>
      <w:jc w:val="right"/>
    </w:pPr>
    <w:rPr>
      <w:rFonts w:cs="Arial"/>
      <w:szCs w:val="18"/>
    </w:rPr>
  </w:style>
  <w:style w:type="paragraph" w:customStyle="1" w:styleId="CopyrightText">
    <w:name w:val="Copyright Text"/>
    <w:basedOn w:val="BodyText"/>
    <w:rsid w:val="0004782A"/>
    <w:rPr>
      <w:sz w:val="18"/>
    </w:rPr>
  </w:style>
  <w:style w:type="paragraph" w:customStyle="1" w:styleId="BodySmallRight">
    <w:name w:val="Body Small Right"/>
    <w:basedOn w:val="BodyTextRight"/>
    <w:rsid w:val="0004782A"/>
    <w:rPr>
      <w:sz w:val="18"/>
      <w:szCs w:val="18"/>
    </w:rPr>
  </w:style>
  <w:style w:type="paragraph" w:customStyle="1" w:styleId="MarginEdition">
    <w:name w:val="Margin Edition"/>
    <w:basedOn w:val="MarginNote"/>
    <w:rsid w:val="0004782A"/>
    <w:pPr>
      <w:spacing w:before="0" w:after="0"/>
    </w:pPr>
    <w:rPr>
      <w:rFonts w:ascii="Times New Roman" w:hAnsi="Times New Roman"/>
      <w:color w:val="999999"/>
    </w:rPr>
  </w:style>
  <w:style w:type="paragraph" w:customStyle="1" w:styleId="Spacer">
    <w:name w:val="Spacer"/>
    <w:basedOn w:val="Normal"/>
    <w:rsid w:val="0004782A"/>
    <w:rPr>
      <w:sz w:val="2"/>
      <w:szCs w:val="2"/>
    </w:rPr>
  </w:style>
  <w:style w:type="character" w:customStyle="1" w:styleId="Small">
    <w:name w:val="Small"/>
    <w:basedOn w:val="DefaultParagraphFont"/>
    <w:rsid w:val="0004782A"/>
    <w:rPr>
      <w:sz w:val="16"/>
    </w:rPr>
  </w:style>
  <w:style w:type="paragraph" w:customStyle="1" w:styleId="WideTable">
    <w:name w:val="Wide Table"/>
    <w:basedOn w:val="Normal"/>
    <w:rsid w:val="0004782A"/>
    <w:pPr>
      <w:ind w:left="-1418"/>
    </w:pPr>
    <w:rPr>
      <w:sz w:val="2"/>
      <w:szCs w:val="2"/>
    </w:rPr>
  </w:style>
  <w:style w:type="character" w:styleId="PageNumber">
    <w:name w:val="page number"/>
    <w:basedOn w:val="DefaultParagraphFont"/>
    <w:rsid w:val="0004782A"/>
  </w:style>
  <w:style w:type="paragraph" w:styleId="Quote">
    <w:name w:val="Quote"/>
    <w:basedOn w:val="Heading1"/>
    <w:link w:val="QuoteChar"/>
    <w:qFormat/>
    <w:rsid w:val="0004782A"/>
    <w:rPr>
      <w:b w:val="0"/>
      <w:sz w:val="72"/>
      <w:szCs w:val="72"/>
      <w:lang w:val="en-NZ"/>
    </w:rPr>
  </w:style>
  <w:style w:type="character" w:customStyle="1" w:styleId="QuoteChar">
    <w:name w:val="Quote Char"/>
    <w:basedOn w:val="DefaultParagraphFont"/>
    <w:link w:val="Quote"/>
    <w:rsid w:val="000478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782A"/>
    <w:pPr>
      <w:pageBreakBefore/>
    </w:pPr>
  </w:style>
  <w:style w:type="paragraph" w:customStyle="1" w:styleId="Border">
    <w:name w:val="Border"/>
    <w:basedOn w:val="Normal"/>
    <w:qFormat/>
    <w:rsid w:val="000478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782A"/>
    <w:rPr>
      <w:b/>
      <w:bCs/>
      <w:i/>
      <w:iCs/>
      <w:color w:val="auto"/>
    </w:rPr>
  </w:style>
  <w:style w:type="paragraph" w:styleId="IntenseQuote">
    <w:name w:val="Intense Quote"/>
    <w:basedOn w:val="Normal"/>
    <w:next w:val="Normal"/>
    <w:link w:val="IntenseQuoteChar"/>
    <w:uiPriority w:val="30"/>
    <w:qFormat/>
    <w:rsid w:val="000478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78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782A"/>
    <w:rPr>
      <w:smallCaps/>
      <w:color w:val="auto"/>
      <w:u w:val="single"/>
    </w:rPr>
  </w:style>
  <w:style w:type="character" w:styleId="IntenseReference">
    <w:name w:val="Intense Reference"/>
    <w:basedOn w:val="DefaultParagraphFont"/>
    <w:uiPriority w:val="32"/>
    <w:qFormat/>
    <w:rsid w:val="0004782A"/>
    <w:rPr>
      <w:b/>
      <w:bCs/>
      <w:smallCaps/>
      <w:color w:val="auto"/>
      <w:spacing w:val="5"/>
      <w:u w:val="single"/>
    </w:rPr>
  </w:style>
  <w:style w:type="paragraph" w:customStyle="1" w:styleId="2ColumnHeading">
    <w:name w:val="2Column Heading"/>
    <w:basedOn w:val="BodyText"/>
    <w:qFormat/>
    <w:rsid w:val="0004782A"/>
    <w:pPr>
      <w:spacing w:after="60"/>
      <w:ind w:left="-2268"/>
    </w:pPr>
    <w:rPr>
      <w:b/>
    </w:rPr>
  </w:style>
  <w:style w:type="paragraph" w:customStyle="1" w:styleId="Heading1TOC">
    <w:name w:val="Heading1 TOC"/>
    <w:basedOn w:val="Normal"/>
    <w:qFormat/>
    <w:rsid w:val="0004782A"/>
    <w:pPr>
      <w:spacing w:before="240" w:after="120"/>
    </w:pPr>
    <w:rPr>
      <w:rFonts w:ascii="Times New Roman" w:hAnsi="Times New Roman"/>
      <w:b/>
      <w:sz w:val="32"/>
    </w:rPr>
  </w:style>
  <w:style w:type="paragraph" w:customStyle="1" w:styleId="Heading2TOC">
    <w:name w:val="Heading2 TOC"/>
    <w:basedOn w:val="Normal"/>
    <w:qFormat/>
    <w:rsid w:val="0004782A"/>
    <w:pPr>
      <w:spacing w:before="240" w:after="60"/>
    </w:pPr>
    <w:rPr>
      <w:rFonts w:ascii="Times New Roman" w:hAnsi="Times New Roman"/>
      <w:b/>
      <w:sz w:val="28"/>
    </w:rPr>
  </w:style>
  <w:style w:type="character" w:customStyle="1" w:styleId="Underline">
    <w:name w:val="Underline"/>
    <w:basedOn w:val="DefaultParagraphFont"/>
    <w:qFormat/>
    <w:rsid w:val="0004782A"/>
    <w:rPr>
      <w:u w:val="single"/>
    </w:rPr>
  </w:style>
  <w:style w:type="character" w:customStyle="1" w:styleId="BoldandItalics">
    <w:name w:val="Bold and Italics"/>
    <w:qFormat/>
    <w:rsid w:val="0004782A"/>
    <w:rPr>
      <w:b/>
      <w:i/>
      <w:u w:val="none"/>
    </w:rPr>
  </w:style>
  <w:style w:type="paragraph" w:styleId="BalloonText">
    <w:name w:val="Balloon Text"/>
    <w:basedOn w:val="Normal"/>
    <w:link w:val="BalloonTextChar"/>
    <w:rsid w:val="0004782A"/>
    <w:rPr>
      <w:rFonts w:ascii="Tahoma" w:hAnsi="Tahoma" w:cs="Tahoma"/>
      <w:sz w:val="16"/>
      <w:szCs w:val="16"/>
    </w:rPr>
  </w:style>
  <w:style w:type="character" w:customStyle="1" w:styleId="BalloonTextChar">
    <w:name w:val="Balloon Text Char"/>
    <w:basedOn w:val="DefaultParagraphFont"/>
    <w:link w:val="BalloonText"/>
    <w:rsid w:val="000478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78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78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782A"/>
    <w:rPr>
      <w:b/>
      <w:color w:val="660033"/>
      <w:spacing w:val="0"/>
    </w:rPr>
  </w:style>
  <w:style w:type="paragraph" w:customStyle="1" w:styleId="Nameditemlist">
    <w:name w:val="Named item list"/>
    <w:basedOn w:val="BodyText"/>
    <w:qFormat/>
    <w:rsid w:val="0004782A"/>
    <w:pPr>
      <w:tabs>
        <w:tab w:val="left" w:pos="2835"/>
      </w:tabs>
      <w:ind w:left="2835" w:hanging="2835"/>
    </w:pPr>
  </w:style>
  <w:style w:type="paragraph" w:customStyle="1" w:styleId="BodyTextnopadding">
    <w:name w:val="Body Text no padding"/>
    <w:basedOn w:val="BodyText"/>
    <w:qFormat/>
    <w:rsid w:val="0004782A"/>
    <w:pPr>
      <w:spacing w:before="0" w:after="0"/>
    </w:pPr>
  </w:style>
  <w:style w:type="paragraph" w:customStyle="1" w:styleId="BodyTextBold">
    <w:name w:val="Body Text Bold"/>
    <w:basedOn w:val="BodyText"/>
    <w:qFormat/>
    <w:rsid w:val="0004782A"/>
    <w:rPr>
      <w:b/>
    </w:rPr>
  </w:style>
  <w:style w:type="character" w:styleId="Hyperlink">
    <w:name w:val="Hyperlink"/>
    <w:basedOn w:val="DefaultParagraphFont"/>
    <w:uiPriority w:val="99"/>
    <w:unhideWhenUsed/>
    <w:rsid w:val="005F0F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757</Words>
  <Characters>4781</Characters>
  <Application>Microsoft Office Word</Application>
  <DocSecurity>0</DocSecurity>
  <Lines>207</Lines>
  <Paragraphs>117</Paragraphs>
  <ScaleCrop>false</ScaleCrop>
  <Company>Author-it Software Corporation Ltd.</Company>
  <LinksUpToDate>false</LinksUpToDate>
  <CharactersWithSpaces>5421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MEM13003 Work safely with industrial chemicals and materials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2024-09-27T05:35:00Z</dcterms:created>
  <dcterms:modified xsi:type="dcterms:W3CDTF">2024-09-27T05:35:00Z</dcterms:modified>
</cp:coreProperties>
</file>