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3366" w:rsidP="007F33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MEM12026 Perform advanced trade calculations in a manufacturing, engineering or related environment</w:t>
      </w:r>
      <w:r>
        <w:fldChar w:fldCharType="end"/>
      </w:r>
    </w:p>
    <w:p w:rsidR="007F3366" w:rsidP="007F3366">
      <w:pPr>
        <w:pStyle w:val="Version"/>
        <w:sectPr w:rsidSect="007F03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03C1" w:rsidP="007F03C1">
      <w:pPr>
        <w:pStyle w:val="SuperHeading"/>
      </w:pPr>
      <w:r w:rsidRPr="007F03C1">
        <w:t>MEM12026 Perform advanced trade calculations in a manufacturing, engineering or related environment</w:t>
      </w:r>
    </w:p>
    <w:p w:rsidR="00000000" w:rsidRPr="007F03C1" w:rsidP="007F03C1">
      <w:pPr>
        <w:pStyle w:val="Heading1"/>
      </w:pPr>
      <w:bookmarkStart w:id="1" w:name="O_948539"/>
      <w:bookmarkEnd w:id="1"/>
      <w:r w:rsidRPr="007F03C1">
        <w:t>Modification History</w:t>
      </w:r>
    </w:p>
    <w:p w:rsidR="00000000" w:rsidRPr="007F03C1" w:rsidP="007F3366">
      <w:pPr>
        <w:pStyle w:val="BodyText"/>
      </w:pPr>
      <w:r w:rsidRPr="007F03C1">
        <w:t>Release 1. New unit</w:t>
      </w:r>
    </w:p>
    <w:p w:rsidR="00000000" w:rsidRPr="007F03C1" w:rsidP="007F03C1">
      <w:pPr>
        <w:pStyle w:val="Heading1"/>
      </w:pPr>
      <w:bookmarkStart w:id="2" w:name="O_948547"/>
      <w:bookmarkEnd w:id="2"/>
      <w:r w:rsidRPr="007F03C1">
        <w:t>Application</w:t>
      </w:r>
    </w:p>
    <w:p w:rsidR="00000000" w:rsidRPr="007F03C1" w:rsidP="007F3366">
      <w:pPr>
        <w:pStyle w:val="BodyText"/>
      </w:pPr>
      <w:r w:rsidRPr="007F03C1">
        <w:t>This unit of competency defines the skills and knowledge requi</w:t>
      </w:r>
      <w:r w:rsidRPr="007F03C1">
        <w:t xml:space="preserve">red to apply advanced mathematics to appropriate engineering post-trade situations within the individual’s area of work. </w:t>
      </w:r>
    </w:p>
    <w:p w:rsidR="00000000" w:rsidRPr="007F03C1" w:rsidP="007F3366">
      <w:pPr>
        <w:pStyle w:val="BodyText"/>
      </w:pPr>
      <w:r w:rsidRPr="007F03C1">
        <w:t>It applies to the use of trigonometry, the sine and cosine rules, work-related formulae, geometric principles relevant to the workpla</w:t>
      </w:r>
      <w:r w:rsidRPr="007F03C1">
        <w:t>ce and the calculation of areas and volumes of common engineering shapes.</w:t>
      </w:r>
    </w:p>
    <w:p w:rsidR="00000000" w:rsidRPr="007F03C1" w:rsidP="007F3366">
      <w:pPr>
        <w:pStyle w:val="BodyText"/>
      </w:pPr>
      <w:r w:rsidRPr="007F03C1">
        <w:t>No licensing, legislative or certification requirements apply to this unit at the time of publication.</w:t>
      </w:r>
    </w:p>
    <w:p w:rsidR="00000000" w:rsidRPr="007F03C1" w:rsidP="007F03C1">
      <w:pPr>
        <w:pStyle w:val="BodyText"/>
      </w:pPr>
      <w:r w:rsidRPr="007F03C1">
        <w:rPr>
          <w:rStyle w:val="SpecialBold"/>
        </w:rPr>
        <w:t>Band</w:t>
      </w:r>
      <w:r w:rsidRPr="007F03C1">
        <w:t>:</w:t>
      </w:r>
      <w:r w:rsidRPr="007F03C1">
        <w:tab/>
      </w:r>
      <w:r w:rsidRPr="007F03C1">
        <w:rPr>
          <w:rStyle w:val="SpecialBold"/>
        </w:rPr>
        <w:t>B</w:t>
      </w:r>
    </w:p>
    <w:p w:rsidR="00000000" w:rsidRPr="007F03C1" w:rsidP="007F03C1">
      <w:pPr>
        <w:pStyle w:val="BodyText"/>
      </w:pPr>
      <w:r w:rsidRPr="007F03C1">
        <w:rPr>
          <w:rStyle w:val="SpecialBold"/>
        </w:rPr>
        <w:t>Unit Weight</w:t>
      </w:r>
      <w:r w:rsidRPr="007F03C1">
        <w:t>:</w:t>
      </w:r>
      <w:r w:rsidRPr="007F03C1">
        <w:tab/>
      </w:r>
      <w:r w:rsidRPr="007F03C1">
        <w:rPr>
          <w:rStyle w:val="SpecialBold"/>
        </w:rPr>
        <w:t>4</w:t>
      </w:r>
    </w:p>
    <w:p w:rsidR="00000000" w:rsidRPr="007F03C1" w:rsidP="007F03C1">
      <w:pPr>
        <w:pStyle w:val="AllowPageBreak"/>
      </w:pPr>
    </w:p>
    <w:p w:rsidR="00000000" w:rsidRPr="007F03C1" w:rsidP="007F03C1">
      <w:pPr>
        <w:pStyle w:val="Heading1"/>
      </w:pPr>
      <w:bookmarkStart w:id="3" w:name="O_948546"/>
      <w:bookmarkEnd w:id="3"/>
      <w:r w:rsidRPr="007F03C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9"/>
        <w:gridCol w:w="6738"/>
      </w:tblGrid>
      <w:tr w:rsidTr="007F0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C1">
            <w:pPr>
              <w:pStyle w:val="BodyText"/>
              <w:rPr>
                <w:lang w:val="en-NZ"/>
              </w:rPr>
            </w:pPr>
            <w:r w:rsidRPr="007F03C1">
              <w:t>MEM12024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C1">
            <w:pPr>
              <w:pStyle w:val="BodyText"/>
              <w:rPr>
                <w:lang w:val="en-NZ"/>
              </w:rPr>
            </w:pPr>
            <w:r w:rsidRPr="007F03C1">
              <w:t>Perform c</w:t>
            </w:r>
            <w:r w:rsidRPr="007F03C1">
              <w:t>omputations</w:t>
            </w:r>
          </w:p>
        </w:tc>
      </w:tr>
      <w:tr w:rsidTr="007F0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C1">
            <w:pPr>
              <w:pStyle w:val="BodyText"/>
              <w:rPr>
                <w:lang w:val="en-NZ"/>
              </w:rPr>
            </w:pPr>
            <w:r w:rsidRPr="007F03C1">
              <w:t>MEM13015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C1">
            <w:pPr>
              <w:pStyle w:val="BodyText"/>
              <w:rPr>
                <w:lang w:val="en-NZ"/>
              </w:rPr>
            </w:pPr>
            <w:r w:rsidRPr="007F03C1">
              <w:t>Work safely and effectively in manufacturing and engineering</w:t>
            </w:r>
          </w:p>
        </w:tc>
      </w:tr>
      <w:tr w:rsidTr="007F0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C1">
            <w:pPr>
              <w:pStyle w:val="BodyText"/>
              <w:rPr>
                <w:lang w:val="en-NZ"/>
              </w:rPr>
            </w:pPr>
            <w:r w:rsidRPr="007F03C1">
              <w:t>MEM16006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3C1" w:rsidP="007F03C1">
            <w:pPr>
              <w:pStyle w:val="BodyText"/>
            </w:pPr>
            <w:r w:rsidRPr="007F03C1">
              <w:t>Organise and communicate information</w:t>
            </w:r>
          </w:p>
        </w:tc>
      </w:tr>
    </w:tbl>
    <w:p w:rsidR="00000000" w:rsidRPr="007F03C1" w:rsidP="007F03C1">
      <w:pPr>
        <w:pStyle w:val="BodyText"/>
      </w:pPr>
    </w:p>
    <w:p w:rsidR="00000000" w:rsidRPr="007F03C1" w:rsidP="007F03C1">
      <w:pPr>
        <w:pStyle w:val="AllowPageBreak"/>
      </w:pPr>
    </w:p>
    <w:p w:rsidR="00000000" w:rsidRPr="007F03C1" w:rsidP="007F03C1">
      <w:pPr>
        <w:pStyle w:val="Heading1"/>
      </w:pPr>
      <w:bookmarkStart w:id="4" w:name="O_948545"/>
      <w:bookmarkEnd w:id="4"/>
      <w:r w:rsidRPr="007F03C1">
        <w:t>Competency Field</w:t>
      </w:r>
    </w:p>
    <w:p w:rsidR="00000000" w:rsidRPr="007F03C1" w:rsidP="007F3366">
      <w:pPr>
        <w:pStyle w:val="BodyText"/>
      </w:pPr>
      <w:r w:rsidRPr="007F03C1">
        <w:t>Measurement</w:t>
      </w:r>
    </w:p>
    <w:p w:rsidR="00000000" w:rsidRPr="007F03C1" w:rsidP="007F03C1">
      <w:pPr>
        <w:pStyle w:val="Heading1"/>
      </w:pPr>
      <w:bookmarkStart w:id="5" w:name="O_948543"/>
      <w:bookmarkEnd w:id="5"/>
      <w:r w:rsidRPr="007F03C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7F0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C1">
            <w:pPr>
              <w:pStyle w:val="BodyText"/>
              <w:rPr>
                <w:lang w:val="en-NZ"/>
              </w:rPr>
            </w:pPr>
            <w:r w:rsidRPr="007F03C1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C1">
            <w:pPr>
              <w:pStyle w:val="BodyText"/>
              <w:rPr>
                <w:lang w:val="en-NZ"/>
              </w:rPr>
            </w:pPr>
            <w:r w:rsidRPr="007F03C1">
              <w:t>Performance criteria describe the performance needed to demonstrate achievement of the element.</w:t>
            </w:r>
          </w:p>
        </w:tc>
      </w:tr>
      <w:tr w:rsidTr="007F0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3C1" w:rsidP="007F03C1">
            <w:pPr>
              <w:pStyle w:val="BodyText"/>
            </w:pPr>
            <w:r w:rsidRPr="007F03C1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C1">
            <w:pPr>
              <w:pStyle w:val="BodyText"/>
              <w:rPr>
                <w:lang w:val="en-NZ"/>
              </w:rPr>
            </w:pPr>
            <w:r w:rsidRPr="007F03C1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C1">
            <w:pPr>
              <w:pStyle w:val="BodyText"/>
              <w:rPr>
                <w:lang w:val="en-NZ"/>
              </w:rPr>
            </w:pPr>
            <w:r w:rsidRPr="007F03C1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C1">
            <w:pPr>
              <w:pStyle w:val="BodyText"/>
              <w:rPr>
                <w:lang w:val="en-NZ"/>
              </w:rPr>
            </w:pPr>
            <w:r w:rsidRPr="007F03C1">
              <w:t>Follow standard operating procedures (SOPs)</w:t>
            </w:r>
          </w:p>
        </w:tc>
      </w:tr>
      <w:tr w:rsidTr="007F0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C1">
            <w:pPr>
              <w:pStyle w:val="BodyText"/>
              <w:rPr>
                <w:lang w:val="en-NZ"/>
              </w:rPr>
            </w:pPr>
            <w:r w:rsidRPr="007F03C1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C1">
            <w:pPr>
              <w:pStyle w:val="BodyText"/>
              <w:rPr>
                <w:lang w:val="en-NZ"/>
              </w:rPr>
            </w:pPr>
            <w:r w:rsidRPr="007F03C1">
              <w:t>Comply with work health and safety (WHS) requirements at all times</w:t>
            </w:r>
          </w:p>
        </w:tc>
      </w:tr>
      <w:tr w:rsidTr="007F0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C1">
            <w:pPr>
              <w:pStyle w:val="BodyText"/>
              <w:rPr>
                <w:lang w:val="en-NZ"/>
              </w:rPr>
            </w:pPr>
            <w:r w:rsidRPr="007F03C1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C1">
            <w:pPr>
              <w:pStyle w:val="BodyText"/>
              <w:rPr>
                <w:lang w:val="en-NZ"/>
              </w:rPr>
            </w:pPr>
            <w:r w:rsidRPr="007F03C1">
              <w:t>Identify job requirements from specifications, drawings, job sheets or work instructions</w:t>
            </w:r>
          </w:p>
        </w:tc>
      </w:tr>
      <w:tr w:rsidTr="007F0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C1">
            <w:pPr>
              <w:pStyle w:val="BodyText"/>
              <w:rPr>
                <w:lang w:val="en-NZ"/>
              </w:rPr>
            </w:pPr>
            <w:r w:rsidRPr="007F03C1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C1">
            <w:pPr>
              <w:pStyle w:val="BodyText"/>
              <w:rPr>
                <w:lang w:val="en-NZ"/>
              </w:rPr>
            </w:pPr>
            <w:r w:rsidRPr="007F03C1">
              <w:t>Establish required calculation outcomes from job instructions</w:t>
            </w:r>
          </w:p>
        </w:tc>
      </w:tr>
      <w:tr w:rsidTr="007F0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C1">
            <w:pPr>
              <w:pStyle w:val="BodyText"/>
              <w:rPr>
                <w:lang w:val="en-NZ"/>
              </w:rPr>
            </w:pPr>
          </w:p>
        </w:tc>
      </w:tr>
      <w:tr w:rsidTr="007F0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3C1" w:rsidP="007F03C1">
            <w:pPr>
              <w:pStyle w:val="BodyText"/>
            </w:pPr>
            <w:r w:rsidRPr="007F03C1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C1">
            <w:pPr>
              <w:pStyle w:val="BodyText"/>
              <w:rPr>
                <w:lang w:val="en-NZ"/>
              </w:rPr>
            </w:pPr>
            <w:r w:rsidRPr="007F03C1">
              <w:rPr>
                <w:rStyle w:val="SpecialBold"/>
              </w:rPr>
              <w:t>Determine required calculation method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C1">
            <w:pPr>
              <w:pStyle w:val="BodyText"/>
              <w:rPr>
                <w:lang w:val="en-NZ"/>
              </w:rPr>
            </w:pPr>
            <w:r w:rsidRPr="007F03C1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C1">
            <w:pPr>
              <w:pStyle w:val="BodyText"/>
              <w:rPr>
                <w:lang w:val="en-NZ"/>
              </w:rPr>
            </w:pPr>
            <w:r w:rsidRPr="007F03C1">
              <w:t>Determine required calculation method to suit the application, including selection of relevant formulae</w:t>
            </w:r>
          </w:p>
        </w:tc>
      </w:tr>
      <w:tr w:rsidTr="007F0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C1">
            <w:pPr>
              <w:pStyle w:val="BodyText"/>
              <w:rPr>
                <w:lang w:val="en-NZ"/>
              </w:rPr>
            </w:pPr>
            <w:r w:rsidRPr="007F03C1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C1">
            <w:pPr>
              <w:pStyle w:val="BodyText"/>
              <w:rPr>
                <w:lang w:val="en-NZ"/>
              </w:rPr>
            </w:pPr>
            <w:r w:rsidRPr="007F03C1">
              <w:t>Estimate expected results, including rounding off, as appropriate</w:t>
            </w:r>
          </w:p>
        </w:tc>
      </w:tr>
      <w:tr w:rsidTr="007F0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C1">
            <w:pPr>
              <w:pStyle w:val="BodyText"/>
              <w:rPr>
                <w:lang w:val="en-NZ"/>
              </w:rPr>
            </w:pPr>
          </w:p>
        </w:tc>
      </w:tr>
      <w:tr w:rsidTr="007F0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3C1" w:rsidP="007F03C1">
            <w:pPr>
              <w:pStyle w:val="BodyText"/>
            </w:pPr>
            <w:r w:rsidRPr="007F03C1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C1">
            <w:pPr>
              <w:pStyle w:val="BodyText"/>
              <w:rPr>
                <w:lang w:val="en-NZ"/>
              </w:rPr>
            </w:pPr>
            <w:r w:rsidRPr="007F03C1">
              <w:rPr>
                <w:rStyle w:val="SpecialBold"/>
              </w:rPr>
              <w:t>Apply calculation method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C1">
            <w:pPr>
              <w:pStyle w:val="BodyText"/>
              <w:rPr>
                <w:lang w:val="en-NZ"/>
              </w:rPr>
            </w:pPr>
            <w:r w:rsidRPr="007F03C1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C1">
            <w:pPr>
              <w:pStyle w:val="BodyText"/>
              <w:rPr>
                <w:lang w:val="en-NZ"/>
              </w:rPr>
            </w:pPr>
            <w:r w:rsidRPr="007F03C1">
              <w:t>Apply calculation method to obtain accurate answer</w:t>
            </w:r>
          </w:p>
        </w:tc>
      </w:tr>
      <w:tr w:rsidTr="007F0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C1">
            <w:pPr>
              <w:pStyle w:val="BodyText"/>
              <w:rPr>
                <w:lang w:val="en-NZ"/>
              </w:rPr>
            </w:pPr>
            <w:r w:rsidRPr="007F03C1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3C1" w:rsidP="007F03C1">
            <w:pPr>
              <w:pStyle w:val="BodyText"/>
            </w:pPr>
            <w:r w:rsidRPr="007F03C1">
              <w:t xml:space="preserve">Check answer against estimation </w:t>
            </w:r>
          </w:p>
        </w:tc>
      </w:tr>
    </w:tbl>
    <w:p w:rsidR="00000000" w:rsidRPr="007F03C1" w:rsidP="007F03C1">
      <w:pPr>
        <w:pStyle w:val="BodyText"/>
      </w:pPr>
    </w:p>
    <w:p w:rsidR="00000000" w:rsidRPr="007F03C1" w:rsidP="007F03C1">
      <w:pPr>
        <w:pStyle w:val="AllowPageBreak"/>
      </w:pPr>
    </w:p>
    <w:p w:rsidR="00000000" w:rsidRPr="007F03C1" w:rsidP="007F03C1">
      <w:pPr>
        <w:pStyle w:val="Heading1"/>
      </w:pPr>
      <w:bookmarkStart w:id="6" w:name="O_948542"/>
      <w:bookmarkEnd w:id="6"/>
      <w:r w:rsidRPr="007F03C1">
        <w:t>Foundation Skills</w:t>
      </w:r>
    </w:p>
    <w:p w:rsidR="00000000" w:rsidRPr="007F03C1" w:rsidP="007F3366">
      <w:pPr>
        <w:pStyle w:val="BodyText"/>
      </w:pPr>
      <w:r w:rsidRPr="007F03C1">
        <w:t xml:space="preserve">This section describes those required skills (reading, writing, oral communication and numeracy) that are essential to workplace performance in this unit of competency.  </w:t>
      </w:r>
    </w:p>
    <w:p w:rsidR="00000000" w:rsidRPr="007F03C1" w:rsidP="007F3366">
      <w:pPr>
        <w:pStyle w:val="BodyText"/>
      </w:pPr>
      <w:r w:rsidRPr="007F03C1">
        <w:t xml:space="preserve">Foundation skills essential to performance are explicit in the performance criteria </w:t>
      </w:r>
      <w:r w:rsidRPr="007F03C1">
        <w:t>of this unit of competency.</w:t>
      </w:r>
    </w:p>
    <w:p w:rsidR="00000000" w:rsidRPr="007F03C1" w:rsidP="007F03C1">
      <w:pPr>
        <w:pStyle w:val="Heading1"/>
      </w:pPr>
      <w:bookmarkStart w:id="7" w:name="O_948541"/>
      <w:bookmarkEnd w:id="7"/>
      <w:r w:rsidRPr="007F03C1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415"/>
      </w:tblGrid>
      <w:tr w:rsidTr="007F0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C1">
            <w:pPr>
              <w:pStyle w:val="BodyText"/>
              <w:rPr>
                <w:lang w:val="en-NZ"/>
              </w:rPr>
            </w:pPr>
            <w:r w:rsidRPr="007F03C1">
              <w:t>This field allows for different work environments and conditions that may affect performance. Essential operating conditions that may be present (depending on the work situation, needs of the</w:t>
            </w:r>
            <w:r w:rsidRPr="007F03C1">
              <w:t xml:space="preserve"> candidate, accessibility of the item, and local industry and regional contexts) are included.</w:t>
            </w:r>
          </w:p>
        </w:tc>
      </w:tr>
      <w:tr w:rsidTr="007F0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C1">
            <w:pPr>
              <w:pStyle w:val="BodyText"/>
              <w:rPr>
                <w:lang w:val="en-NZ"/>
              </w:rPr>
            </w:pPr>
            <w:r w:rsidRPr="007F03C1">
              <w:rPr>
                <w:rStyle w:val="SpecialBold"/>
              </w:rPr>
              <w:t xml:space="preserve">Calculations are performed using one (1) </w:t>
            </w:r>
            <w:r w:rsidRPr="007F03C1">
              <w:rPr>
                <w:rStyle w:val="SpecialBold"/>
              </w:rPr>
              <w:t>or more of the following:</w:t>
            </w:r>
          </w:p>
        </w:tc>
        <w:tc>
          <w:tcPr>
            <w:tcW w:w="6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3C1" w:rsidP="007F03C1">
            <w:pPr>
              <w:pStyle w:val="ListBullet"/>
            </w:pPr>
            <w:r w:rsidRPr="007F03C1">
              <w:t>pen and paper</w:t>
            </w:r>
          </w:p>
          <w:p w:rsidR="00000000" w:rsidRPr="007F03C1" w:rsidP="007F03C1">
            <w:pPr>
              <w:pStyle w:val="ListBullet"/>
            </w:pPr>
            <w:r w:rsidRPr="007F03C1">
              <w:t>a calculator</w:t>
            </w:r>
          </w:p>
          <w:p w:rsidR="00000000" w:rsidRPr="007F03C1" w:rsidP="007F03C1">
            <w:pPr>
              <w:pStyle w:val="ListBullet"/>
            </w:pPr>
            <w:r w:rsidRPr="007F03C1">
              <w:t>tables</w:t>
            </w:r>
          </w:p>
          <w:p w:rsidR="00000000" w:rsidRPr="007F03C1" w:rsidP="007F03C1">
            <w:pPr>
              <w:pStyle w:val="ListBullet"/>
            </w:pPr>
            <w:r w:rsidRPr="007F03C1">
              <w:t>tablets</w:t>
            </w:r>
          </w:p>
          <w:p w:rsidR="00000000" w:rsidRPr="007F03C1" w:rsidP="007F03C1">
            <w:pPr>
              <w:pStyle w:val="ListBullet"/>
            </w:pPr>
            <w:r w:rsidRPr="007F03C1">
              <w:t>computers</w:t>
            </w:r>
          </w:p>
          <w:p w:rsidR="00000000" w:rsidP="007F03C1">
            <w:pPr>
              <w:pStyle w:val="BodyText"/>
              <w:rPr>
                <w:lang w:val="en-NZ"/>
              </w:rPr>
            </w:pPr>
          </w:p>
        </w:tc>
      </w:tr>
      <w:tr w:rsidTr="007F0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C1">
            <w:pPr>
              <w:pStyle w:val="BodyText"/>
              <w:rPr>
                <w:lang w:val="en-NZ"/>
              </w:rPr>
            </w:pPr>
            <w:r w:rsidRPr="007F03C1">
              <w:rPr>
                <w:rStyle w:val="SpecialBold"/>
              </w:rPr>
              <w:t>Calculat</w:t>
            </w:r>
            <w:r w:rsidRPr="007F03C1">
              <w:rPr>
                <w:rStyle w:val="SpecialBold"/>
              </w:rPr>
              <w:t>ions include establishing solutions associated with one (1) or more of the following:</w:t>
            </w:r>
          </w:p>
        </w:tc>
        <w:tc>
          <w:tcPr>
            <w:tcW w:w="6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3C1" w:rsidP="007F03C1">
            <w:pPr>
              <w:pStyle w:val="ListBullet"/>
            </w:pPr>
            <w:r w:rsidRPr="007F03C1">
              <w:t xml:space="preserve">angles </w:t>
            </w:r>
          </w:p>
          <w:p w:rsidR="00000000" w:rsidRPr="007F03C1" w:rsidP="007F03C1">
            <w:pPr>
              <w:pStyle w:val="ListBullet"/>
            </w:pPr>
            <w:r w:rsidRPr="007F03C1">
              <w:t xml:space="preserve">lengths </w:t>
            </w:r>
          </w:p>
          <w:p w:rsidR="00000000" w:rsidRPr="007F03C1" w:rsidP="007F03C1">
            <w:pPr>
              <w:pStyle w:val="ListBullet"/>
            </w:pPr>
            <w:r w:rsidRPr="007F03C1">
              <w:t>areas</w:t>
            </w:r>
          </w:p>
          <w:p w:rsidR="00000000" w:rsidRPr="007F03C1" w:rsidP="007F03C1">
            <w:pPr>
              <w:pStyle w:val="ListBullet"/>
            </w:pPr>
            <w:r w:rsidRPr="007F03C1">
              <w:t>perimeters</w:t>
            </w:r>
          </w:p>
          <w:p w:rsidR="00000000" w:rsidRPr="007F03C1" w:rsidP="007F03C1">
            <w:pPr>
              <w:pStyle w:val="ListBullet"/>
            </w:pPr>
            <w:r w:rsidRPr="007F03C1">
              <w:t xml:space="preserve">volumes </w:t>
            </w:r>
          </w:p>
          <w:p w:rsidR="00000000" w:rsidP="007F03C1">
            <w:pPr>
              <w:pStyle w:val="BodyText"/>
              <w:rPr>
                <w:lang w:val="en-NZ"/>
              </w:rPr>
            </w:pPr>
          </w:p>
        </w:tc>
      </w:tr>
      <w:tr w:rsidTr="007F0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3C1">
            <w:pPr>
              <w:pStyle w:val="BodyText"/>
              <w:rPr>
                <w:lang w:val="en-NZ"/>
              </w:rPr>
            </w:pPr>
            <w:r w:rsidRPr="007F03C1">
              <w:rPr>
                <w:rStyle w:val="SpecialBold"/>
              </w:rPr>
              <w:t>Calculation methods include the following:</w:t>
            </w:r>
          </w:p>
        </w:tc>
        <w:tc>
          <w:tcPr>
            <w:tcW w:w="6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3C1" w:rsidP="007F03C1">
            <w:pPr>
              <w:pStyle w:val="ListBullet"/>
            </w:pPr>
            <w:r w:rsidRPr="007F03C1">
              <w:t>trigonometry:</w:t>
            </w:r>
          </w:p>
          <w:p w:rsidR="00000000" w:rsidRPr="007F03C1" w:rsidP="007F03C1">
            <w:pPr>
              <w:pStyle w:val="ListBullet2"/>
            </w:pPr>
            <w:r w:rsidRPr="007F03C1">
              <w:t>basic functions</w:t>
            </w:r>
          </w:p>
          <w:p w:rsidR="00000000" w:rsidRPr="007F03C1" w:rsidP="007F03C1">
            <w:pPr>
              <w:pStyle w:val="ListBullet2"/>
            </w:pPr>
            <w:r w:rsidRPr="007F03C1">
              <w:t>sine rule</w:t>
            </w:r>
          </w:p>
          <w:p w:rsidR="00000000" w:rsidRPr="007F03C1" w:rsidP="007F03C1">
            <w:pPr>
              <w:pStyle w:val="ListBullet2"/>
            </w:pPr>
            <w:r w:rsidRPr="007F03C1">
              <w:t>cosine rule</w:t>
            </w:r>
          </w:p>
          <w:p w:rsidR="00000000" w:rsidRPr="007F03C1" w:rsidP="007F03C1">
            <w:pPr>
              <w:pStyle w:val="ListBullet"/>
            </w:pPr>
            <w:r w:rsidRPr="007F03C1">
              <w:t>Pythagoras Theorem</w:t>
            </w:r>
          </w:p>
          <w:p w:rsidR="00000000" w:rsidRPr="007F03C1" w:rsidP="007F03C1">
            <w:pPr>
              <w:pStyle w:val="ListBullet"/>
            </w:pPr>
            <w:r w:rsidRPr="007F03C1">
              <w:t>geometry</w:t>
            </w:r>
          </w:p>
          <w:p w:rsidR="00000000" w:rsidRPr="007F03C1" w:rsidP="007F03C1">
            <w:pPr>
              <w:pStyle w:val="BodyText"/>
            </w:pPr>
          </w:p>
        </w:tc>
      </w:tr>
    </w:tbl>
    <w:p w:rsidR="00000000" w:rsidRPr="007F03C1" w:rsidP="007F03C1">
      <w:pPr>
        <w:pStyle w:val="BodyText"/>
      </w:pPr>
    </w:p>
    <w:p w:rsidR="00000000" w:rsidRPr="007F03C1" w:rsidP="007F03C1">
      <w:pPr>
        <w:pStyle w:val="AllowPageBreak"/>
      </w:pPr>
    </w:p>
    <w:p w:rsidR="00000000" w:rsidRPr="007F03C1" w:rsidP="007F03C1">
      <w:pPr>
        <w:pStyle w:val="Heading1"/>
      </w:pPr>
      <w:bookmarkStart w:id="8" w:name="O_948540"/>
      <w:bookmarkEnd w:id="8"/>
      <w:r w:rsidRPr="007F03C1">
        <w:t>Unit Mapping Information</w:t>
      </w:r>
    </w:p>
    <w:p w:rsidR="00000000" w:rsidRPr="007F03C1" w:rsidP="007F3366">
      <w:pPr>
        <w:pStyle w:val="BodyText"/>
      </w:pPr>
      <w:r w:rsidRPr="007F03C1">
        <w:t>Release 1. No equivalent unit</w:t>
      </w:r>
    </w:p>
    <w:p w:rsidR="00000000" w:rsidRPr="007F03C1" w:rsidP="007F03C1">
      <w:pPr>
        <w:pStyle w:val="Heading1"/>
      </w:pPr>
      <w:bookmarkStart w:id="9" w:name="O_948533"/>
      <w:bookmarkEnd w:id="9"/>
      <w:r w:rsidRPr="007F03C1">
        <w:t>Links</w:t>
      </w:r>
    </w:p>
    <w:p w:rsidR="00000000" w:rsidRPr="007F03C1" w:rsidP="007F3366">
      <w:pPr>
        <w:pStyle w:val="BodyText"/>
      </w:pPr>
      <w:r w:rsidRPr="007F03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F722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F03C1" w:rsidP="007F03C1"/>
    <w:sectPr w:rsidSect="007F03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C1" w:rsidRPr="007F3366" w:rsidP="007F33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366" w:rsidP="007F03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3366" w:rsidP="007F03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F3366" w:rsidP="007F03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3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03C1" w:rsidRPr="007F3366" w:rsidP="007F33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366" w:rsidRPr="002D2AF8" w:rsidP="007F03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MEM12026 Perform advanced trade calculations in a manufacturing, engineering or related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F3366" w:rsidP="007F03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52F3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E081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A4D3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3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03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03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03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03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03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03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03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03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03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03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03C1"/>
  </w:style>
  <w:style w:type="character" w:customStyle="1" w:styleId="Heading1Char">
    <w:name w:val="Heading 1 Char"/>
    <w:basedOn w:val="DefaultParagraphFont"/>
    <w:link w:val="Heading1"/>
    <w:rsid w:val="007F03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03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03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03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03C1"/>
    <w:rPr>
      <w:b/>
      <w:spacing w:val="0"/>
    </w:rPr>
  </w:style>
  <w:style w:type="paragraph" w:styleId="ListBullet2">
    <w:name w:val="List Bullet 2"/>
    <w:basedOn w:val="List2"/>
    <w:rsid w:val="007F03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03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03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03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03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03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03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03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03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03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03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03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03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03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03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03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03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03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03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03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03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03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03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03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03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03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03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03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03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03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03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03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03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03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03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03C1"/>
    <w:rPr>
      <w:i/>
    </w:rPr>
  </w:style>
  <w:style w:type="paragraph" w:styleId="Caption">
    <w:name w:val="caption"/>
    <w:basedOn w:val="BodyText"/>
    <w:next w:val="Normal"/>
    <w:qFormat/>
    <w:rsid w:val="007F03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03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03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03C1"/>
  </w:style>
  <w:style w:type="paragraph" w:styleId="TableofFigures">
    <w:name w:val="table of figures"/>
    <w:basedOn w:val="Normal"/>
    <w:next w:val="Normal"/>
    <w:semiHidden/>
    <w:rsid w:val="007F03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03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03C1"/>
    <w:rPr>
      <w:rFonts w:ascii="Wingdings" w:hAnsi="Wingdings"/>
    </w:rPr>
  </w:style>
  <w:style w:type="paragraph" w:customStyle="1" w:styleId="TableHeading">
    <w:name w:val="Table Heading"/>
    <w:basedOn w:val="HeadingBase"/>
    <w:rsid w:val="007F03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03C1"/>
    <w:rPr>
      <w:color w:val="0033CC"/>
      <w:u w:val="none"/>
    </w:rPr>
  </w:style>
  <w:style w:type="paragraph" w:customStyle="1" w:styleId="BodyTextRight">
    <w:name w:val="Body Text Right"/>
    <w:basedOn w:val="BodyText"/>
    <w:rsid w:val="007F03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03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03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03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03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03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03C1"/>
    <w:rPr>
      <w:sz w:val="32"/>
    </w:rPr>
  </w:style>
  <w:style w:type="paragraph" w:customStyle="1" w:styleId="HeadingProcedure">
    <w:name w:val="Heading Procedure"/>
    <w:basedOn w:val="HeadingBase"/>
    <w:next w:val="Normal"/>
    <w:rsid w:val="007F03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03C1"/>
    <w:pPr>
      <w:spacing w:before="60" w:after="60"/>
    </w:pPr>
  </w:style>
  <w:style w:type="paragraph" w:styleId="ListContinue">
    <w:name w:val="List Continue"/>
    <w:basedOn w:val="List"/>
    <w:rsid w:val="007F03C1"/>
    <w:pPr>
      <w:ind w:firstLine="0"/>
    </w:pPr>
  </w:style>
  <w:style w:type="paragraph" w:customStyle="1" w:styleId="ListNote">
    <w:name w:val="List Note"/>
    <w:basedOn w:val="List"/>
    <w:rsid w:val="007F03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03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03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03C1"/>
    <w:rPr>
      <w:rFonts w:ascii="Courier New" w:hAnsi="Courier New"/>
    </w:rPr>
  </w:style>
  <w:style w:type="paragraph" w:customStyle="1" w:styleId="NoteBullet">
    <w:name w:val="Note Bullet"/>
    <w:basedOn w:val="Note"/>
    <w:rsid w:val="007F03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03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03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03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03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03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03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03C1"/>
    <w:rPr>
      <w:b/>
      <w:smallCaps/>
    </w:rPr>
  </w:style>
  <w:style w:type="paragraph" w:customStyle="1" w:styleId="TableListNumber">
    <w:name w:val="Table List Number"/>
    <w:basedOn w:val="ListNumber"/>
    <w:rsid w:val="007F03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03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03C1"/>
    <w:pPr>
      <w:numPr>
        <w:numId w:val="9"/>
      </w:numPr>
    </w:pPr>
  </w:style>
  <w:style w:type="paragraph" w:customStyle="1" w:styleId="ListAlpha2">
    <w:name w:val="List Alpha 2"/>
    <w:basedOn w:val="List2"/>
    <w:rsid w:val="007F03C1"/>
    <w:pPr>
      <w:numPr>
        <w:numId w:val="8"/>
      </w:numPr>
    </w:pPr>
  </w:style>
  <w:style w:type="paragraph" w:styleId="List2">
    <w:name w:val="List 2"/>
    <w:basedOn w:val="BodyText"/>
    <w:rsid w:val="007F03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03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03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03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03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03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03C1"/>
    <w:pPr>
      <w:numPr>
        <w:numId w:val="4"/>
      </w:numPr>
    </w:pPr>
  </w:style>
  <w:style w:type="paragraph" w:styleId="ListContinue2">
    <w:name w:val="List Continue 2"/>
    <w:basedOn w:val="List2"/>
    <w:rsid w:val="007F03C1"/>
    <w:pPr>
      <w:ind w:firstLine="0"/>
    </w:pPr>
  </w:style>
  <w:style w:type="paragraph" w:styleId="ListContinue3">
    <w:name w:val="List Continue 3"/>
    <w:basedOn w:val="List3"/>
    <w:rsid w:val="007F03C1"/>
    <w:pPr>
      <w:ind w:left="1021" w:firstLine="0"/>
    </w:pPr>
  </w:style>
  <w:style w:type="paragraph" w:styleId="ListContinue4">
    <w:name w:val="List Continue 4"/>
    <w:basedOn w:val="List4"/>
    <w:rsid w:val="007F03C1"/>
    <w:pPr>
      <w:ind w:firstLine="0"/>
    </w:pPr>
  </w:style>
  <w:style w:type="paragraph" w:styleId="ListContinue5">
    <w:name w:val="List Continue 5"/>
    <w:basedOn w:val="List5"/>
    <w:rsid w:val="007F03C1"/>
    <w:pPr>
      <w:ind w:firstLine="0"/>
    </w:pPr>
  </w:style>
  <w:style w:type="paragraph" w:styleId="ListNumber3">
    <w:name w:val="List Number 3"/>
    <w:basedOn w:val="List3"/>
    <w:rsid w:val="007F03C1"/>
    <w:pPr>
      <w:numPr>
        <w:numId w:val="5"/>
      </w:numPr>
    </w:pPr>
  </w:style>
  <w:style w:type="paragraph" w:styleId="ListNumber4">
    <w:name w:val="List Number 4"/>
    <w:basedOn w:val="List4"/>
    <w:rsid w:val="007F03C1"/>
    <w:pPr>
      <w:numPr>
        <w:numId w:val="6"/>
      </w:numPr>
    </w:pPr>
  </w:style>
  <w:style w:type="paragraph" w:styleId="ListNumber5">
    <w:name w:val="List Number 5"/>
    <w:basedOn w:val="List5"/>
    <w:rsid w:val="007F03C1"/>
    <w:pPr>
      <w:numPr>
        <w:numId w:val="7"/>
      </w:numPr>
    </w:pPr>
  </w:style>
  <w:style w:type="paragraph" w:styleId="BlockText">
    <w:name w:val="Block Text"/>
    <w:basedOn w:val="Normal"/>
    <w:rsid w:val="007F03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03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03C1"/>
    <w:rPr>
      <w:sz w:val="16"/>
      <w:vertAlign w:val="superscript"/>
    </w:rPr>
  </w:style>
  <w:style w:type="character" w:customStyle="1" w:styleId="Symbols">
    <w:name w:val="Symbols"/>
    <w:basedOn w:val="DefaultParagraphFont"/>
    <w:rsid w:val="007F03C1"/>
    <w:rPr>
      <w:rFonts w:ascii="Symbol" w:hAnsi="Symbol"/>
    </w:rPr>
  </w:style>
  <w:style w:type="character" w:customStyle="1" w:styleId="MenuOptions">
    <w:name w:val="Menu Options"/>
    <w:basedOn w:val="DefaultParagraphFont"/>
    <w:rsid w:val="007F03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03C1"/>
    <w:rPr>
      <w:b/>
    </w:rPr>
  </w:style>
  <w:style w:type="character" w:customStyle="1" w:styleId="Underlined">
    <w:name w:val="Underlined"/>
    <w:basedOn w:val="DefaultParagraphFont"/>
    <w:rsid w:val="007F03C1"/>
    <w:rPr>
      <w:u w:val="single"/>
    </w:rPr>
  </w:style>
  <w:style w:type="paragraph" w:customStyle="1" w:styleId="TableBodyTextRight">
    <w:name w:val="Table Body Text Right"/>
    <w:basedOn w:val="TableBodyText"/>
    <w:rsid w:val="007F03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03C1"/>
    <w:rPr>
      <w:sz w:val="18"/>
    </w:rPr>
  </w:style>
  <w:style w:type="paragraph" w:customStyle="1" w:styleId="BodySmallRight">
    <w:name w:val="Body Small Right"/>
    <w:basedOn w:val="BodyTextRight"/>
    <w:rsid w:val="007F03C1"/>
    <w:rPr>
      <w:sz w:val="18"/>
      <w:szCs w:val="18"/>
    </w:rPr>
  </w:style>
  <w:style w:type="paragraph" w:customStyle="1" w:styleId="MarginEdition">
    <w:name w:val="Margin Edition"/>
    <w:basedOn w:val="MarginNote"/>
    <w:rsid w:val="007F03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03C1"/>
    <w:rPr>
      <w:sz w:val="2"/>
      <w:szCs w:val="2"/>
    </w:rPr>
  </w:style>
  <w:style w:type="character" w:customStyle="1" w:styleId="Small">
    <w:name w:val="Small"/>
    <w:basedOn w:val="DefaultParagraphFont"/>
    <w:rsid w:val="007F03C1"/>
    <w:rPr>
      <w:sz w:val="16"/>
    </w:rPr>
  </w:style>
  <w:style w:type="paragraph" w:customStyle="1" w:styleId="WideTable">
    <w:name w:val="Wide Table"/>
    <w:basedOn w:val="Normal"/>
    <w:rsid w:val="007F03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03C1"/>
  </w:style>
  <w:style w:type="paragraph" w:styleId="Quote">
    <w:name w:val="Quote"/>
    <w:basedOn w:val="Heading1"/>
    <w:link w:val="QuoteChar"/>
    <w:qFormat/>
    <w:rsid w:val="007F03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03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03C1"/>
    <w:pPr>
      <w:pageBreakBefore/>
    </w:pPr>
  </w:style>
  <w:style w:type="paragraph" w:customStyle="1" w:styleId="Border">
    <w:name w:val="Border"/>
    <w:basedOn w:val="Normal"/>
    <w:qFormat/>
    <w:rsid w:val="007F03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03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3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3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03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03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03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03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03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03C1"/>
    <w:rPr>
      <w:u w:val="single"/>
    </w:rPr>
  </w:style>
  <w:style w:type="character" w:customStyle="1" w:styleId="BoldandItalics">
    <w:name w:val="Bold and Italics"/>
    <w:qFormat/>
    <w:rsid w:val="007F03C1"/>
    <w:rPr>
      <w:b/>
      <w:i/>
      <w:u w:val="none"/>
    </w:rPr>
  </w:style>
  <w:style w:type="paragraph" w:styleId="BalloonText">
    <w:name w:val="Balloon Text"/>
    <w:basedOn w:val="Normal"/>
    <w:link w:val="BalloonTextChar"/>
    <w:rsid w:val="007F03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03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03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03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03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03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03C1"/>
    <w:pPr>
      <w:spacing w:before="0" w:after="0"/>
    </w:pPr>
  </w:style>
  <w:style w:type="paragraph" w:customStyle="1" w:styleId="BodyTextBold">
    <w:name w:val="Body Text Bold"/>
    <w:basedOn w:val="BodyText"/>
    <w:qFormat/>
    <w:rsid w:val="007F03C1"/>
    <w:rPr>
      <w:b/>
    </w:rPr>
  </w:style>
  <w:style w:type="character" w:styleId="Hyperlink">
    <w:name w:val="Hyperlink"/>
    <w:basedOn w:val="DefaultParagraphFont"/>
    <w:uiPriority w:val="99"/>
    <w:unhideWhenUsed/>
    <w:rsid w:val="007F33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2773</Characters>
  <Application>Microsoft Office Word</Application>
  <DocSecurity>0</DocSecurity>
  <Lines>145</Lines>
  <Paragraphs>88</Paragraphs>
  <ScaleCrop>false</ScaleCrop>
  <Company>Author-it Software Corporation Ltd.</Company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MEM12026 Perform advanced trade calculations in a manufacturing, engineering or related environment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2023-02-03T06:42:00Z</dcterms:created>
  <dcterms:modified xsi:type="dcterms:W3CDTF">2023-02-03T06:42:00Z</dcterms:modified>
</cp:coreProperties>
</file>