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8F3" w:rsidP="004E2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MEM12026 Perform advanced trade calculations in a manufacturing, engineering or related environment</w:t>
      </w:r>
      <w:r>
        <w:fldChar w:fldCharType="end"/>
      </w:r>
    </w:p>
    <w:p w:rsidR="004E28F3" w:rsidP="004E28F3">
      <w:pPr>
        <w:pStyle w:val="Version"/>
        <w:sectPr w:rsidSect="009C4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B29" w:rsidP="009C4B29">
      <w:pPr>
        <w:pStyle w:val="SuperHeading"/>
      </w:pPr>
      <w:r w:rsidRPr="009C4B29">
        <w:t>Assessment Requirements for MEM12026 Perform advanced trade calculations in a manufacturing, engineering or related environment</w:t>
      </w:r>
    </w:p>
    <w:p w:rsidR="00000000" w:rsidRPr="009C4B29" w:rsidP="009C4B29">
      <w:pPr>
        <w:pStyle w:val="Heading1"/>
      </w:pPr>
      <w:bookmarkStart w:id="1" w:name="O_948535"/>
      <w:bookmarkEnd w:id="1"/>
      <w:r w:rsidRPr="009C4B29">
        <w:t>Modification History</w:t>
      </w:r>
    </w:p>
    <w:p w:rsidR="00000000" w:rsidRPr="009C4B29" w:rsidP="004E28F3">
      <w:pPr>
        <w:pStyle w:val="BodyText"/>
      </w:pPr>
      <w:r w:rsidRPr="009C4B29">
        <w:t>Release 1. New unit</w:t>
      </w:r>
    </w:p>
    <w:p w:rsidR="00000000" w:rsidRPr="009C4B29" w:rsidP="009C4B29">
      <w:pPr>
        <w:pStyle w:val="Heading1"/>
      </w:pPr>
      <w:bookmarkStart w:id="2" w:name="O_948538"/>
      <w:bookmarkEnd w:id="2"/>
      <w:r w:rsidRPr="009C4B29">
        <w:t>Performance Evidence</w:t>
      </w:r>
    </w:p>
    <w:p w:rsidR="00000000" w:rsidRPr="009C4B29" w:rsidP="004E28F3">
      <w:pPr>
        <w:pStyle w:val="BodyText"/>
      </w:pPr>
      <w:r w:rsidRPr="009C4B29">
        <w:t>Evidence required to demonstrate competence in this unit must be relevant to and satisfy the requirements of the elements and performance criteria on at least two (2) occasions and include:</w:t>
      </w:r>
    </w:p>
    <w:p w:rsidR="00000000" w:rsidRPr="009C4B29" w:rsidP="009C4B29">
      <w:pPr>
        <w:pStyle w:val="ListBullet"/>
      </w:pPr>
      <w:r w:rsidRPr="009C4B29">
        <w:t>following work instructions, standard operating procedures and sa</w:t>
      </w:r>
      <w:r w:rsidRPr="009C4B29">
        <w:t xml:space="preserve">fe work practices </w:t>
      </w:r>
    </w:p>
    <w:p w:rsidR="00000000" w:rsidRPr="009C4B29" w:rsidP="009C4B29">
      <w:pPr>
        <w:pStyle w:val="ListBullet"/>
      </w:pPr>
      <w:r w:rsidRPr="009C4B29">
        <w:t xml:space="preserve">obtaining and interpreting data from specifications, drawings, job sheets or work instructions to establish required outcomes </w:t>
      </w:r>
    </w:p>
    <w:p w:rsidR="00000000" w:rsidRPr="009C4B29" w:rsidP="009C4B29">
      <w:pPr>
        <w:pStyle w:val="ListBullet"/>
      </w:pPr>
      <w:r w:rsidRPr="009C4B29">
        <w:t xml:space="preserve">determining the appropriate calculation method to suit the application </w:t>
      </w:r>
    </w:p>
    <w:p w:rsidR="00000000" w:rsidRPr="009C4B29" w:rsidP="009C4B29">
      <w:pPr>
        <w:pStyle w:val="ListBullet"/>
      </w:pPr>
      <w:r w:rsidRPr="009C4B29">
        <w:t>performing calculations using:</w:t>
      </w:r>
    </w:p>
    <w:p w:rsidR="00000000" w:rsidRPr="009C4B29" w:rsidP="009C4B29">
      <w:pPr>
        <w:pStyle w:val="ListBullet2"/>
      </w:pPr>
      <w:r w:rsidRPr="009C4B29">
        <w:t>trigon</w:t>
      </w:r>
      <w:r w:rsidRPr="009C4B29">
        <w:t xml:space="preserve">ometric ratios </w:t>
      </w:r>
    </w:p>
    <w:p w:rsidR="00000000" w:rsidRPr="009C4B29" w:rsidP="009C4B29">
      <w:pPr>
        <w:pStyle w:val="ListBullet2"/>
      </w:pPr>
      <w:r w:rsidRPr="009C4B29">
        <w:t>Pythagoras Theorem</w:t>
      </w:r>
    </w:p>
    <w:p w:rsidR="00000000" w:rsidRPr="009C4B29" w:rsidP="009C4B29">
      <w:pPr>
        <w:pStyle w:val="ListBullet2"/>
      </w:pPr>
      <w:r w:rsidRPr="009C4B29">
        <w:t>geometric formulae</w:t>
      </w:r>
    </w:p>
    <w:p w:rsidR="00000000" w:rsidRPr="009C4B29" w:rsidP="009C4B29">
      <w:pPr>
        <w:pStyle w:val="ListBullet"/>
      </w:pPr>
      <w:r w:rsidRPr="009C4B29">
        <w:t>manipulation of formulae to change the subject</w:t>
      </w:r>
    </w:p>
    <w:p w:rsidR="00000000" w:rsidRPr="009C4B29" w:rsidP="009C4B29">
      <w:pPr>
        <w:pStyle w:val="ListBullet"/>
      </w:pPr>
      <w:r w:rsidRPr="009C4B29">
        <w:t>checking answers using estimations.</w:t>
      </w:r>
    </w:p>
    <w:p w:rsidR="00000000" w:rsidRPr="009C4B29" w:rsidP="009C4B29">
      <w:pPr>
        <w:pStyle w:val="AllowPageBreak"/>
      </w:pPr>
    </w:p>
    <w:p w:rsidR="00000000" w:rsidRPr="009C4B29" w:rsidP="009C4B29">
      <w:pPr>
        <w:pStyle w:val="Heading1"/>
      </w:pPr>
      <w:bookmarkStart w:id="3" w:name="O_948537"/>
      <w:bookmarkEnd w:id="3"/>
      <w:r w:rsidRPr="009C4B29">
        <w:t>Knowledge Evidence</w:t>
      </w:r>
    </w:p>
    <w:p w:rsidR="00000000" w:rsidRPr="009C4B29" w:rsidP="004E28F3">
      <w:pPr>
        <w:pStyle w:val="BodyText"/>
      </w:pPr>
      <w:r w:rsidRPr="009C4B29">
        <w:t>Evidence required to demonstrate the required knowledge for this unit must be relevant to and satisfy the requirements of the elements and performance criteria and include knowledge of:</w:t>
      </w:r>
    </w:p>
    <w:p w:rsidR="00000000" w:rsidRPr="009C4B29" w:rsidP="009C4B29">
      <w:pPr>
        <w:pStyle w:val="ListBullet"/>
      </w:pPr>
      <w:r w:rsidRPr="009C4B29">
        <w:t xml:space="preserve">safe work practices and procedures </w:t>
      </w:r>
    </w:p>
    <w:p w:rsidR="00000000" w:rsidRPr="009C4B29" w:rsidP="009C4B29">
      <w:pPr>
        <w:pStyle w:val="ListBullet"/>
      </w:pPr>
      <w:r w:rsidRPr="009C4B29">
        <w:t>formulae applicable to the determ</w:t>
      </w:r>
      <w:r w:rsidRPr="009C4B29">
        <w:t>ination of perimeter, area and volume of simple geometric shapes</w:t>
      </w:r>
    </w:p>
    <w:p w:rsidR="00000000" w:rsidRPr="009C4B29" w:rsidP="009C4B29">
      <w:pPr>
        <w:pStyle w:val="ListBullet"/>
      </w:pPr>
      <w:r w:rsidRPr="009C4B29">
        <w:t>the reasons for ensuring calculations are carried out using the same units of measurement</w:t>
      </w:r>
    </w:p>
    <w:p w:rsidR="00000000" w:rsidRPr="009C4B29" w:rsidP="009C4B29">
      <w:pPr>
        <w:pStyle w:val="ListBullet"/>
      </w:pPr>
      <w:r w:rsidRPr="009C4B29">
        <w:t>nomenclature used in trigonometry, Pythagoras’ Theorem and geometry</w:t>
      </w:r>
    </w:p>
    <w:p w:rsidR="00000000" w:rsidRPr="009C4B29" w:rsidP="009C4B29">
      <w:pPr>
        <w:pStyle w:val="ListBullet"/>
      </w:pPr>
      <w:r w:rsidRPr="009C4B29">
        <w:t>mathematical principles and order</w:t>
      </w:r>
      <w:r w:rsidRPr="009C4B29">
        <w:t xml:space="preserve"> of operations</w:t>
      </w:r>
    </w:p>
    <w:p w:rsidR="00000000" w:rsidRPr="009C4B29" w:rsidP="009C4B29">
      <w:pPr>
        <w:pStyle w:val="ListBullet"/>
      </w:pPr>
      <w:r w:rsidRPr="009C4B29">
        <w:t>techniques and procedures for rounding off figures when estimating approximate answers</w:t>
      </w:r>
    </w:p>
    <w:p w:rsidR="00000000" w:rsidRPr="009C4B29" w:rsidP="009C4B29">
      <w:pPr>
        <w:pStyle w:val="ListBullet"/>
      </w:pPr>
      <w:r w:rsidRPr="009C4B29">
        <w:t>applications of geometric calculations in manufacturing and engineering situations.</w:t>
      </w:r>
    </w:p>
    <w:p w:rsidR="00000000" w:rsidRPr="009C4B29" w:rsidP="009C4B29">
      <w:pPr>
        <w:pStyle w:val="AllowPageBreak"/>
      </w:pPr>
    </w:p>
    <w:p w:rsidR="00000000" w:rsidRPr="009C4B29" w:rsidP="009C4B29">
      <w:pPr>
        <w:pStyle w:val="Heading1"/>
      </w:pPr>
      <w:bookmarkStart w:id="4" w:name="O_948536"/>
      <w:bookmarkEnd w:id="4"/>
      <w:r w:rsidRPr="009C4B29">
        <w:t>Assessment Conditions</w:t>
      </w:r>
    </w:p>
    <w:p w:rsidR="00000000" w:rsidRPr="009C4B29" w:rsidP="009C4B29">
      <w:pPr>
        <w:pStyle w:val="ListBullet"/>
      </w:pPr>
      <w:r w:rsidRPr="009C4B29">
        <w:t>Assessors must:</w:t>
      </w:r>
    </w:p>
    <w:p w:rsidR="00000000" w:rsidRPr="009C4B29" w:rsidP="009C4B29">
      <w:pPr>
        <w:pStyle w:val="ListBullet2"/>
      </w:pPr>
      <w:r w:rsidRPr="009C4B29">
        <w:t>have vocation</w:t>
      </w:r>
      <w:r w:rsidRPr="009C4B29">
        <w:t>al competency in performing computations at least to the level being assessed with relevant industry knowledge and experience</w:t>
      </w:r>
    </w:p>
    <w:p w:rsidR="00000000" w:rsidRPr="009C4B29" w:rsidP="009C4B29">
      <w:pPr>
        <w:pStyle w:val="ListBullet2"/>
      </w:pPr>
      <w:r w:rsidRPr="009C4B29">
        <w:t xml:space="preserve">satisfy the assessor requirements in the </w:t>
      </w:r>
      <w:r w:rsidRPr="009C4B29">
        <w:rPr>
          <w:rStyle w:val="Emphasis"/>
        </w:rPr>
        <w:t xml:space="preserve">Standards for Registered Training Organisations 2015 </w:t>
      </w:r>
      <w:r w:rsidRPr="009C4B29">
        <w:t>or its replacement</w:t>
      </w:r>
      <w:r w:rsidRPr="009C4B29">
        <w:rPr>
          <w:rStyle w:val="Emphasis"/>
        </w:rPr>
        <w:t xml:space="preserve"> </w:t>
      </w:r>
      <w:r w:rsidRPr="009C4B29">
        <w:t xml:space="preserve">and comply with the </w:t>
      </w:r>
      <w:r w:rsidRPr="009C4B29">
        <w:rPr>
          <w:rStyle w:val="Emphasis"/>
        </w:rPr>
        <w:t xml:space="preserve">National Vocational Education and Training Regulator Act 2011, </w:t>
      </w:r>
      <w:r w:rsidRPr="009C4B29">
        <w:t>its replacement</w:t>
      </w:r>
      <w:r w:rsidRPr="009C4B29">
        <w:rPr>
          <w:rStyle w:val="Emphasis"/>
        </w:rPr>
        <w:t xml:space="preserve"> </w:t>
      </w:r>
      <w:r w:rsidRPr="009C4B29">
        <w:t>or equivalent legislation covering VET regulation in a non-referring state/territory as the case requires</w:t>
      </w:r>
    </w:p>
    <w:p w:rsidR="00000000" w:rsidRPr="009C4B29" w:rsidP="009C4B29">
      <w:pPr>
        <w:pStyle w:val="ListBullet"/>
      </w:pPr>
      <w:r w:rsidRPr="009C4B29">
        <w:t>Where possible assessment must occur in operationa</w:t>
      </w:r>
      <w:r w:rsidRPr="009C4B29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9C4B29">
        <w:t>must cover all aspects of workplace performance, including environment, task skills, task management skills, contingency management skills and job role environment skills</w:t>
      </w:r>
    </w:p>
    <w:p w:rsidR="00000000" w:rsidRPr="009C4B29" w:rsidP="009C4B29">
      <w:pPr>
        <w:pStyle w:val="ListBullet"/>
      </w:pPr>
      <w:r w:rsidRPr="009C4B29">
        <w:t xml:space="preserve">Conditions for assessment must include access to all tools, equipment, materials and </w:t>
      </w:r>
      <w:r w:rsidRPr="009C4B29">
        <w:t>documentation required, including relevant workplace procedures, product and manufacturing specifications</w:t>
      </w:r>
    </w:p>
    <w:p w:rsidR="00000000" w:rsidRPr="009C4B29" w:rsidP="009C4B29">
      <w:pPr>
        <w:pStyle w:val="ListBullet"/>
      </w:pPr>
      <w:r w:rsidRPr="009C4B29">
        <w:t xml:space="preserve">Assessment processes and techniques must be appropriate to the language, literacy and numeracy requirements of the work being performed and the needs </w:t>
      </w:r>
      <w:r w:rsidRPr="009C4B29">
        <w:t>of the candidate.</w:t>
      </w:r>
    </w:p>
    <w:p w:rsidR="00000000" w:rsidRPr="009C4B29" w:rsidP="009C4B29">
      <w:pPr>
        <w:pStyle w:val="AllowPageBreak"/>
      </w:pPr>
    </w:p>
    <w:p w:rsidR="00000000" w:rsidRPr="009C4B29" w:rsidP="009C4B29">
      <w:pPr>
        <w:pStyle w:val="Heading1"/>
      </w:pPr>
      <w:bookmarkStart w:id="5" w:name="O_948534"/>
      <w:bookmarkEnd w:id="5"/>
      <w:r w:rsidRPr="009C4B29">
        <w:t>Links</w:t>
      </w:r>
    </w:p>
    <w:p w:rsidR="00000000" w:rsidRPr="009C4B29" w:rsidP="004E28F3">
      <w:pPr>
        <w:pStyle w:val="BodyText"/>
      </w:pPr>
      <w:r w:rsidRPr="009C4B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1B3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C4B29" w:rsidP="009C4B29"/>
    <w:sectPr w:rsidSect="009C4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9" w:rsidRPr="004E28F3" w:rsidP="004E2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F3" w:rsidP="009C4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8F3" w:rsidP="009C4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8F3" w:rsidP="009C4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B29" w:rsidRPr="004E28F3" w:rsidP="004E2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8F3" w:rsidRPr="002D2AF8" w:rsidP="009C4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MEM12026 Perform advanced trade calculations in a manufacturing, engineering or related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28F3" w:rsidP="009C4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60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BE2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6D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B29"/>
  </w:style>
  <w:style w:type="character" w:customStyle="1" w:styleId="Heading1Char">
    <w:name w:val="Heading 1 Char"/>
    <w:basedOn w:val="DefaultParagraphFont"/>
    <w:link w:val="Heading1"/>
    <w:rsid w:val="009C4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B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4B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4B29"/>
    <w:rPr>
      <w:i/>
    </w:rPr>
  </w:style>
  <w:style w:type="paragraph" w:customStyle="1" w:styleId="SuperHeading">
    <w:name w:val="SuperHeading"/>
    <w:basedOn w:val="Normal"/>
    <w:rsid w:val="009C4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B29"/>
    <w:rPr>
      <w:b/>
      <w:spacing w:val="0"/>
    </w:rPr>
  </w:style>
  <w:style w:type="paragraph" w:customStyle="1" w:styleId="SuperTitle">
    <w:name w:val="SuperTitle"/>
    <w:basedOn w:val="Title"/>
    <w:rsid w:val="009C4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B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B29"/>
  </w:style>
  <w:style w:type="paragraph" w:styleId="TableofFigures">
    <w:name w:val="table of figures"/>
    <w:basedOn w:val="Normal"/>
    <w:next w:val="Normal"/>
    <w:semiHidden/>
    <w:rsid w:val="009C4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B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B29"/>
    <w:rPr>
      <w:rFonts w:ascii="Wingdings" w:hAnsi="Wingdings"/>
    </w:rPr>
  </w:style>
  <w:style w:type="paragraph" w:customStyle="1" w:styleId="TableHeading">
    <w:name w:val="Table Heading"/>
    <w:basedOn w:val="HeadingBase"/>
    <w:rsid w:val="009C4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B29"/>
    <w:rPr>
      <w:color w:val="0033CC"/>
      <w:u w:val="none"/>
    </w:rPr>
  </w:style>
  <w:style w:type="paragraph" w:customStyle="1" w:styleId="BodyTextRight">
    <w:name w:val="Body Text Right"/>
    <w:basedOn w:val="BodyText"/>
    <w:rsid w:val="009C4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B29"/>
    <w:rPr>
      <w:sz w:val="32"/>
    </w:rPr>
  </w:style>
  <w:style w:type="paragraph" w:customStyle="1" w:styleId="HeadingProcedure">
    <w:name w:val="Heading Procedure"/>
    <w:basedOn w:val="HeadingBase"/>
    <w:next w:val="Normal"/>
    <w:rsid w:val="009C4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B29"/>
    <w:pPr>
      <w:spacing w:before="60" w:after="60"/>
    </w:pPr>
  </w:style>
  <w:style w:type="paragraph" w:styleId="ListContinue">
    <w:name w:val="List Continue"/>
    <w:basedOn w:val="List"/>
    <w:rsid w:val="009C4B29"/>
    <w:pPr>
      <w:ind w:firstLine="0"/>
    </w:pPr>
  </w:style>
  <w:style w:type="paragraph" w:customStyle="1" w:styleId="ListNote">
    <w:name w:val="List Note"/>
    <w:basedOn w:val="List"/>
    <w:rsid w:val="009C4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B29"/>
    <w:rPr>
      <w:rFonts w:ascii="Courier New" w:hAnsi="Courier New"/>
    </w:rPr>
  </w:style>
  <w:style w:type="paragraph" w:customStyle="1" w:styleId="NoteBullet">
    <w:name w:val="Note Bullet"/>
    <w:basedOn w:val="Note"/>
    <w:rsid w:val="009C4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B29"/>
    <w:rPr>
      <w:b/>
      <w:smallCaps/>
    </w:rPr>
  </w:style>
  <w:style w:type="paragraph" w:customStyle="1" w:styleId="TableListNumber">
    <w:name w:val="Table List Number"/>
    <w:basedOn w:val="ListNumber"/>
    <w:rsid w:val="009C4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B29"/>
    <w:pPr>
      <w:numPr>
        <w:numId w:val="9"/>
      </w:numPr>
    </w:pPr>
  </w:style>
  <w:style w:type="paragraph" w:customStyle="1" w:styleId="ListAlpha2">
    <w:name w:val="List Alpha 2"/>
    <w:basedOn w:val="List2"/>
    <w:rsid w:val="009C4B29"/>
    <w:pPr>
      <w:numPr>
        <w:numId w:val="8"/>
      </w:numPr>
    </w:pPr>
  </w:style>
  <w:style w:type="paragraph" w:styleId="List2">
    <w:name w:val="List 2"/>
    <w:basedOn w:val="BodyText"/>
    <w:rsid w:val="009C4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B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B29"/>
    <w:pPr>
      <w:numPr>
        <w:numId w:val="4"/>
      </w:numPr>
    </w:pPr>
  </w:style>
  <w:style w:type="paragraph" w:styleId="ListContinue2">
    <w:name w:val="List Continue 2"/>
    <w:basedOn w:val="List2"/>
    <w:rsid w:val="009C4B29"/>
    <w:pPr>
      <w:ind w:firstLine="0"/>
    </w:pPr>
  </w:style>
  <w:style w:type="paragraph" w:styleId="ListContinue3">
    <w:name w:val="List Continue 3"/>
    <w:basedOn w:val="List3"/>
    <w:rsid w:val="009C4B29"/>
    <w:pPr>
      <w:ind w:left="1021" w:firstLine="0"/>
    </w:pPr>
  </w:style>
  <w:style w:type="paragraph" w:styleId="ListContinue4">
    <w:name w:val="List Continue 4"/>
    <w:basedOn w:val="List4"/>
    <w:rsid w:val="009C4B29"/>
    <w:pPr>
      <w:ind w:firstLine="0"/>
    </w:pPr>
  </w:style>
  <w:style w:type="paragraph" w:styleId="ListContinue5">
    <w:name w:val="List Continue 5"/>
    <w:basedOn w:val="List5"/>
    <w:rsid w:val="009C4B29"/>
    <w:pPr>
      <w:ind w:firstLine="0"/>
    </w:pPr>
  </w:style>
  <w:style w:type="paragraph" w:styleId="ListNumber3">
    <w:name w:val="List Number 3"/>
    <w:basedOn w:val="List3"/>
    <w:rsid w:val="009C4B29"/>
    <w:pPr>
      <w:numPr>
        <w:numId w:val="5"/>
      </w:numPr>
    </w:pPr>
  </w:style>
  <w:style w:type="paragraph" w:styleId="ListNumber4">
    <w:name w:val="List Number 4"/>
    <w:basedOn w:val="List4"/>
    <w:rsid w:val="009C4B29"/>
    <w:pPr>
      <w:numPr>
        <w:numId w:val="6"/>
      </w:numPr>
    </w:pPr>
  </w:style>
  <w:style w:type="paragraph" w:styleId="ListNumber5">
    <w:name w:val="List Number 5"/>
    <w:basedOn w:val="List5"/>
    <w:rsid w:val="009C4B29"/>
    <w:pPr>
      <w:numPr>
        <w:numId w:val="7"/>
      </w:numPr>
    </w:pPr>
  </w:style>
  <w:style w:type="paragraph" w:styleId="BlockText">
    <w:name w:val="Block Text"/>
    <w:basedOn w:val="Normal"/>
    <w:rsid w:val="009C4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B29"/>
    <w:rPr>
      <w:sz w:val="16"/>
      <w:vertAlign w:val="superscript"/>
    </w:rPr>
  </w:style>
  <w:style w:type="character" w:customStyle="1" w:styleId="Symbols">
    <w:name w:val="Symbols"/>
    <w:basedOn w:val="DefaultParagraphFont"/>
    <w:rsid w:val="009C4B29"/>
    <w:rPr>
      <w:rFonts w:ascii="Symbol" w:hAnsi="Symbol"/>
    </w:rPr>
  </w:style>
  <w:style w:type="character" w:customStyle="1" w:styleId="MenuOptions">
    <w:name w:val="Menu Options"/>
    <w:basedOn w:val="DefaultParagraphFont"/>
    <w:rsid w:val="009C4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B29"/>
    <w:rPr>
      <w:b/>
    </w:rPr>
  </w:style>
  <w:style w:type="character" w:customStyle="1" w:styleId="Underlined">
    <w:name w:val="Underlined"/>
    <w:basedOn w:val="DefaultParagraphFont"/>
    <w:rsid w:val="009C4B29"/>
    <w:rPr>
      <w:u w:val="single"/>
    </w:rPr>
  </w:style>
  <w:style w:type="paragraph" w:customStyle="1" w:styleId="TableBodyTextRight">
    <w:name w:val="Table Body Text Right"/>
    <w:basedOn w:val="TableBodyText"/>
    <w:rsid w:val="009C4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B29"/>
    <w:rPr>
      <w:sz w:val="18"/>
    </w:rPr>
  </w:style>
  <w:style w:type="paragraph" w:customStyle="1" w:styleId="BodySmallRight">
    <w:name w:val="Body Small Right"/>
    <w:basedOn w:val="BodyTextRight"/>
    <w:rsid w:val="009C4B29"/>
    <w:rPr>
      <w:sz w:val="18"/>
      <w:szCs w:val="18"/>
    </w:rPr>
  </w:style>
  <w:style w:type="paragraph" w:customStyle="1" w:styleId="MarginEdition">
    <w:name w:val="Margin Edition"/>
    <w:basedOn w:val="MarginNote"/>
    <w:rsid w:val="009C4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B29"/>
    <w:rPr>
      <w:sz w:val="2"/>
      <w:szCs w:val="2"/>
    </w:rPr>
  </w:style>
  <w:style w:type="character" w:customStyle="1" w:styleId="Small">
    <w:name w:val="Small"/>
    <w:basedOn w:val="DefaultParagraphFont"/>
    <w:rsid w:val="009C4B29"/>
    <w:rPr>
      <w:sz w:val="16"/>
    </w:rPr>
  </w:style>
  <w:style w:type="paragraph" w:customStyle="1" w:styleId="WideTable">
    <w:name w:val="Wide Table"/>
    <w:basedOn w:val="Normal"/>
    <w:rsid w:val="009C4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B29"/>
  </w:style>
  <w:style w:type="paragraph" w:styleId="Quote">
    <w:name w:val="Quote"/>
    <w:basedOn w:val="Heading1"/>
    <w:link w:val="QuoteChar"/>
    <w:qFormat/>
    <w:rsid w:val="009C4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B29"/>
    <w:pPr>
      <w:pageBreakBefore/>
    </w:pPr>
  </w:style>
  <w:style w:type="paragraph" w:customStyle="1" w:styleId="Border">
    <w:name w:val="Border"/>
    <w:basedOn w:val="Normal"/>
    <w:qFormat/>
    <w:rsid w:val="009C4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B29"/>
    <w:rPr>
      <w:u w:val="single"/>
    </w:rPr>
  </w:style>
  <w:style w:type="character" w:customStyle="1" w:styleId="BoldandItalics">
    <w:name w:val="Bold and Italics"/>
    <w:qFormat/>
    <w:rsid w:val="009C4B29"/>
    <w:rPr>
      <w:b/>
      <w:i/>
      <w:u w:val="none"/>
    </w:rPr>
  </w:style>
  <w:style w:type="paragraph" w:styleId="BalloonText">
    <w:name w:val="Balloon Text"/>
    <w:basedOn w:val="Normal"/>
    <w:link w:val="BalloonTextChar"/>
    <w:rsid w:val="009C4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B29"/>
    <w:pPr>
      <w:spacing w:before="0" w:after="0"/>
    </w:pPr>
  </w:style>
  <w:style w:type="paragraph" w:customStyle="1" w:styleId="BodyTextBold">
    <w:name w:val="Body Text Bold"/>
    <w:basedOn w:val="BodyText"/>
    <w:qFormat/>
    <w:rsid w:val="009C4B29"/>
    <w:rPr>
      <w:b/>
    </w:rPr>
  </w:style>
  <w:style w:type="character" w:styleId="Hyperlink">
    <w:name w:val="Hyperlink"/>
    <w:basedOn w:val="DefaultParagraphFont"/>
    <w:uiPriority w:val="99"/>
    <w:unhideWhenUsed/>
    <w:rsid w:val="004E2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2921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MEM12026 Perform advanced trade calculations in a manufacturing, engineering or related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