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599" w:rsidP="00C52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MEM12024 Perform computations</w:t>
      </w:r>
      <w:r>
        <w:fldChar w:fldCharType="end"/>
      </w:r>
    </w:p>
    <w:p w:rsidR="00C52599" w:rsidP="00C52599">
      <w:pPr>
        <w:pStyle w:val="Version"/>
        <w:sectPr w:rsidSect="00B31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6E0" w:rsidP="00B316E0">
      <w:pPr>
        <w:pStyle w:val="SuperHeading"/>
      </w:pPr>
      <w:r w:rsidRPr="00B316E0">
        <w:t>Assessment Requirements for MEM12024 Perform computations</w:t>
      </w:r>
    </w:p>
    <w:p w:rsidR="00000000" w:rsidRPr="00B316E0" w:rsidP="00B316E0">
      <w:pPr>
        <w:pStyle w:val="Heading1"/>
      </w:pPr>
      <w:bookmarkStart w:id="1" w:name="O_948497"/>
      <w:bookmarkEnd w:id="1"/>
      <w:r w:rsidRPr="00B316E0">
        <w:t>Modification History</w:t>
      </w:r>
    </w:p>
    <w:p w:rsidR="00000000" w:rsidRPr="00B316E0" w:rsidP="00C52599">
      <w:pPr>
        <w:pStyle w:val="BodyText"/>
      </w:pPr>
      <w:r w:rsidRPr="00B316E0">
        <w:t xml:space="preserve">Release 1. Supersedes and is equivalent to MEM12024A Perform computations </w:t>
      </w:r>
    </w:p>
    <w:p w:rsidR="00000000" w:rsidRPr="00B316E0" w:rsidP="00B316E0">
      <w:pPr>
        <w:pStyle w:val="Heading1"/>
      </w:pPr>
      <w:bookmarkStart w:id="2" w:name="O_948500"/>
      <w:bookmarkEnd w:id="2"/>
      <w:r w:rsidRPr="00B316E0">
        <w:t>Performance Evidence</w:t>
      </w:r>
    </w:p>
    <w:p w:rsidR="00000000" w:rsidRPr="00B316E0" w:rsidP="00C52599">
      <w:pPr>
        <w:pStyle w:val="BodyText"/>
      </w:pPr>
      <w:r w:rsidRPr="00B316E0">
        <w:t xml:space="preserve">Evidence required to demonstrate competence in this unit must be relevant to and satisfy the requirements </w:t>
      </w:r>
      <w:r w:rsidRPr="00B316E0">
        <w:t>of the elements and performance criteria on at least two (2) occasions and include:</w:t>
      </w:r>
    </w:p>
    <w:p w:rsidR="00000000" w:rsidRPr="00B316E0" w:rsidP="00B316E0">
      <w:pPr>
        <w:pStyle w:val="ListBullet"/>
      </w:pPr>
      <w:r w:rsidRPr="00B316E0">
        <w:t xml:space="preserve">following work instructions, standard operating procedures (SOPs) and safe work practices </w:t>
      </w:r>
    </w:p>
    <w:p w:rsidR="00000000" w:rsidRPr="00B316E0" w:rsidP="00B316E0">
      <w:pPr>
        <w:pStyle w:val="ListBullet"/>
      </w:pPr>
      <w:r w:rsidRPr="00B316E0">
        <w:t>obtaining and interpreting data from job instructions and relevant sources to es</w:t>
      </w:r>
      <w:r w:rsidRPr="00B316E0">
        <w:t xml:space="preserve">tablish required outcomes </w:t>
      </w:r>
    </w:p>
    <w:p w:rsidR="00000000" w:rsidRPr="00B316E0" w:rsidP="00B316E0">
      <w:pPr>
        <w:pStyle w:val="ListBullet"/>
      </w:pPr>
      <w:r w:rsidRPr="00B316E0">
        <w:t xml:space="preserve">determining the appropriate calculation method to suit the application </w:t>
      </w:r>
    </w:p>
    <w:p w:rsidR="00000000" w:rsidRPr="00B316E0" w:rsidP="00B316E0">
      <w:pPr>
        <w:pStyle w:val="ListBullet"/>
      </w:pPr>
      <w:r w:rsidRPr="00B316E0">
        <w:t xml:space="preserve">performing calculations and confirming answer/s </w:t>
      </w:r>
    </w:p>
    <w:p w:rsidR="00000000" w:rsidRPr="00B316E0" w:rsidP="00B316E0">
      <w:pPr>
        <w:pStyle w:val="ListBullet"/>
      </w:pPr>
      <w:r w:rsidRPr="00B316E0">
        <w:t>producing and interpreting simple charts and graphs from given data.</w:t>
      </w:r>
    </w:p>
    <w:p w:rsidR="00000000" w:rsidRPr="00B316E0" w:rsidP="00B316E0">
      <w:pPr>
        <w:pStyle w:val="AllowPageBreak"/>
      </w:pPr>
    </w:p>
    <w:p w:rsidR="00000000" w:rsidRPr="00B316E0" w:rsidP="00B316E0">
      <w:pPr>
        <w:pStyle w:val="Heading1"/>
      </w:pPr>
      <w:bookmarkStart w:id="3" w:name="O_948499"/>
      <w:bookmarkEnd w:id="3"/>
      <w:r w:rsidRPr="00B316E0">
        <w:t>Knowledge Evidence</w:t>
      </w:r>
    </w:p>
    <w:p w:rsidR="00000000" w:rsidRPr="00B316E0" w:rsidP="00C52599">
      <w:pPr>
        <w:pStyle w:val="BodyText"/>
      </w:pPr>
      <w:r w:rsidRPr="00B316E0">
        <w:t>Evi</w:t>
      </w:r>
      <w:r w:rsidRPr="00B316E0">
        <w:t>dence required to demonstrate the required knowledge for this unit must be relevant to and satisfy the requirements of the elements and performance criteria and include knowledge of:</w:t>
      </w:r>
    </w:p>
    <w:p w:rsidR="00000000" w:rsidRPr="00B316E0" w:rsidP="00B316E0">
      <w:pPr>
        <w:pStyle w:val="ListBullet"/>
      </w:pPr>
      <w:r w:rsidRPr="00B316E0">
        <w:t xml:space="preserve">safe work practices and procedures </w:t>
      </w:r>
    </w:p>
    <w:p w:rsidR="00000000" w:rsidRPr="00B316E0" w:rsidP="00B316E0">
      <w:pPr>
        <w:pStyle w:val="ListBullet"/>
      </w:pPr>
      <w:r w:rsidRPr="00B316E0">
        <w:t>formulae applicable to the determina</w:t>
      </w:r>
      <w:r w:rsidRPr="00B316E0">
        <w:t>tion of perimeter, area and volume of simple geometric shapes and the reasons for using dimensions with the same units</w:t>
      </w:r>
    </w:p>
    <w:p w:rsidR="00000000" w:rsidRPr="00B316E0" w:rsidP="00B316E0">
      <w:pPr>
        <w:pStyle w:val="ListBullet"/>
      </w:pPr>
      <w:r w:rsidRPr="00B316E0">
        <w:t>techniques and procedures for rounding off figures when estimating approximate answers</w:t>
      </w:r>
    </w:p>
    <w:p w:rsidR="00000000" w:rsidRPr="00B316E0" w:rsidP="00B316E0">
      <w:pPr>
        <w:pStyle w:val="ListBullet"/>
      </w:pPr>
      <w:r w:rsidRPr="00B316E0">
        <w:t>features and use of mixed numbers, decimals, fract</w:t>
      </w:r>
      <w:r w:rsidRPr="00B316E0">
        <w:t>ions and whole numbers</w:t>
      </w:r>
    </w:p>
    <w:p w:rsidR="00000000" w:rsidRPr="00B316E0" w:rsidP="00B316E0">
      <w:pPr>
        <w:pStyle w:val="ListBullet"/>
      </w:pPr>
      <w:r w:rsidRPr="00B316E0">
        <w:t>procedures for carrying out calculations involving fractions and using each of the four basic rules of addition, subtraction, multiplication and division</w:t>
      </w:r>
    </w:p>
    <w:p w:rsidR="00000000" w:rsidRPr="00B316E0" w:rsidP="00B316E0">
      <w:pPr>
        <w:pStyle w:val="ListBullet"/>
      </w:pPr>
      <w:r w:rsidRPr="00B316E0">
        <w:t>concept of percentage and procedures to be followed in converting a decimal and</w:t>
      </w:r>
      <w:r w:rsidRPr="00B316E0">
        <w:t xml:space="preserve"> fraction to a percentage </w:t>
      </w:r>
    </w:p>
    <w:p w:rsidR="00000000" w:rsidRPr="00B316E0" w:rsidP="00B316E0">
      <w:pPr>
        <w:pStyle w:val="ListBullet"/>
      </w:pPr>
      <w:r w:rsidRPr="00B316E0">
        <w:t xml:space="preserve">concepts and calculations of ratio and proportion </w:t>
      </w:r>
    </w:p>
    <w:p w:rsidR="00000000" w:rsidRPr="00B316E0" w:rsidP="00B316E0">
      <w:pPr>
        <w:pStyle w:val="ListBullet"/>
      </w:pPr>
      <w:r w:rsidRPr="00B316E0">
        <w:t xml:space="preserve">scales applicable to the axes of the graphs or charts </w:t>
      </w:r>
    </w:p>
    <w:p w:rsidR="00000000" w:rsidRPr="00B316E0" w:rsidP="00B316E0">
      <w:pPr>
        <w:pStyle w:val="ListBullet"/>
      </w:pPr>
      <w:r w:rsidRPr="00B316E0">
        <w:t>types of charts and/or graphs used in the individual</w:t>
      </w:r>
      <w:r>
        <w:t>’</w:t>
      </w:r>
      <w:r w:rsidRPr="00B316E0">
        <w:t xml:space="preserve">s field of work </w:t>
      </w:r>
    </w:p>
    <w:p w:rsidR="00000000" w:rsidRPr="00B316E0" w:rsidP="00B316E0">
      <w:pPr>
        <w:pStyle w:val="ListBullet"/>
      </w:pPr>
      <w:r w:rsidRPr="00B316E0">
        <w:t xml:space="preserve">upper and lower limits of acceptability applicable to data entered on a graph or chart </w:t>
      </w:r>
    </w:p>
    <w:p w:rsidR="00000000" w:rsidRPr="00B316E0" w:rsidP="00B316E0">
      <w:pPr>
        <w:pStyle w:val="ListBullet"/>
      </w:pPr>
      <w:r w:rsidRPr="00B316E0">
        <w:t>trends indicated by the slope or gradient of a graph</w:t>
      </w:r>
    </w:p>
    <w:p w:rsidR="00000000" w:rsidRPr="00B316E0" w:rsidP="00B316E0">
      <w:pPr>
        <w:pStyle w:val="ListBullet"/>
      </w:pPr>
      <w:r w:rsidRPr="00B316E0">
        <w:t xml:space="preserve">action to be taken when given trends occur or set limits are approached on graphs or charts </w:t>
      </w:r>
    </w:p>
    <w:p w:rsidR="00000000" w:rsidRPr="00B316E0" w:rsidP="00B316E0">
      <w:pPr>
        <w:pStyle w:val="ListBullet"/>
      </w:pPr>
      <w:r w:rsidRPr="00B316E0">
        <w:t>procedures for drawing</w:t>
      </w:r>
      <w:r w:rsidRPr="00B316E0">
        <w:t xml:space="preserve"> </w:t>
      </w:r>
      <w:r>
        <w:t>‘</w:t>
      </w:r>
      <w:r w:rsidRPr="00B316E0">
        <w:t>lines of best fit</w:t>
      </w:r>
      <w:r>
        <w:t>’</w:t>
      </w:r>
      <w:r w:rsidRPr="00B316E0">
        <w:t xml:space="preserve"> </w:t>
      </w:r>
    </w:p>
    <w:p w:rsidR="00000000" w:rsidRPr="00B316E0" w:rsidP="00B316E0">
      <w:pPr>
        <w:pStyle w:val="ListBullet"/>
      </w:pPr>
      <w:r w:rsidRPr="00B316E0">
        <w:t>trends indicated by the graphs or charts drawn.</w:t>
      </w:r>
    </w:p>
    <w:p w:rsidR="00000000" w:rsidRPr="00B316E0" w:rsidP="00B316E0">
      <w:pPr>
        <w:pStyle w:val="AllowPageBreak"/>
      </w:pPr>
    </w:p>
    <w:p w:rsidR="00000000" w:rsidRPr="00B316E0" w:rsidP="00B316E0">
      <w:pPr>
        <w:pStyle w:val="Heading1"/>
      </w:pPr>
      <w:bookmarkStart w:id="4" w:name="O_948498"/>
      <w:bookmarkEnd w:id="4"/>
      <w:r w:rsidRPr="00B316E0">
        <w:t>Assessment Conditions</w:t>
      </w:r>
    </w:p>
    <w:p w:rsidR="00000000" w:rsidRPr="00B316E0" w:rsidP="00B316E0">
      <w:pPr>
        <w:pStyle w:val="ListBullet"/>
      </w:pPr>
      <w:r w:rsidRPr="00B316E0">
        <w:t>Assessors must:</w:t>
      </w:r>
    </w:p>
    <w:p w:rsidR="00000000" w:rsidRPr="00B316E0" w:rsidP="00B316E0">
      <w:pPr>
        <w:pStyle w:val="ListBullet2"/>
      </w:pPr>
      <w:r w:rsidRPr="00B316E0">
        <w:t>have vocational competency in performing computations at least to the level being assessed with relevant industry knowledge and e</w:t>
      </w:r>
      <w:r w:rsidRPr="00B316E0">
        <w:t>xperience</w:t>
      </w:r>
    </w:p>
    <w:p w:rsidR="00000000" w:rsidRPr="00B316E0" w:rsidP="00B316E0">
      <w:pPr>
        <w:pStyle w:val="ListBullet2"/>
      </w:pPr>
      <w:r w:rsidRPr="00B316E0">
        <w:t xml:space="preserve">satisfy the assessor requirements in the </w:t>
      </w:r>
      <w:r w:rsidRPr="00B316E0">
        <w:rPr>
          <w:rStyle w:val="Emphasis"/>
        </w:rPr>
        <w:t xml:space="preserve">Standards for Registered Training Organisations 2015 </w:t>
      </w:r>
      <w:r w:rsidRPr="00B316E0">
        <w:t>or its replacement</w:t>
      </w:r>
      <w:r w:rsidRPr="00B316E0">
        <w:rPr>
          <w:rStyle w:val="Emphasis"/>
        </w:rPr>
        <w:t xml:space="preserve"> </w:t>
      </w:r>
      <w:r w:rsidRPr="00B316E0">
        <w:t xml:space="preserve">and comply with the </w:t>
      </w:r>
      <w:r w:rsidRPr="00B316E0">
        <w:rPr>
          <w:rStyle w:val="Emphasis"/>
        </w:rPr>
        <w:t xml:space="preserve">National Vocational Education and Training Regulator Act 2011, </w:t>
      </w:r>
      <w:r w:rsidRPr="00B316E0">
        <w:t>its replacement</w:t>
      </w:r>
      <w:r w:rsidRPr="00B316E0">
        <w:rPr>
          <w:rStyle w:val="Emphasis"/>
        </w:rPr>
        <w:t xml:space="preserve"> </w:t>
      </w:r>
      <w:r w:rsidRPr="00B316E0">
        <w:t>or equivalent legislation covering</w:t>
      </w:r>
      <w:r w:rsidRPr="00B316E0">
        <w:t xml:space="preserve"> VET regulation in a non-referring state/territory as the case requires</w:t>
      </w:r>
    </w:p>
    <w:p w:rsidR="00000000" w:rsidRPr="00B316E0" w:rsidP="00B316E0">
      <w:pPr>
        <w:pStyle w:val="ListBullet"/>
      </w:pPr>
      <w:r w:rsidRPr="00B316E0">
        <w:t>Where possible assessment must occur in operational workplace situations. Where this is not possible or where personal saf</w:t>
      </w:r>
      <w:r w:rsidRPr="00B316E0">
        <w:t xml:space="preserve">ety or environmental damage are limiting factors, assessment must occur in a sufficiently rigorous simulated environment that reflects realistic operational workplace conditions. This must cover all aspects of workplace performance, including environment, </w:t>
      </w:r>
      <w:r w:rsidRPr="00B316E0">
        <w:t>task skills, task management skills, contingency management skills and job role environment skills</w:t>
      </w:r>
    </w:p>
    <w:p w:rsidR="00000000" w:rsidRPr="00B316E0" w:rsidP="00B316E0">
      <w:pPr>
        <w:pStyle w:val="ListBullet"/>
      </w:pPr>
      <w:r w:rsidRPr="00B316E0">
        <w:t>Conditions for assessment must include access to all tools, equipment, materials and documentation required, including relevant workplace procedures, product</w:t>
      </w:r>
      <w:r w:rsidRPr="00B316E0">
        <w:t xml:space="preserve"> and manufacturing specifications</w:t>
      </w:r>
    </w:p>
    <w:p w:rsidR="00000000" w:rsidRPr="00B316E0" w:rsidP="00B316E0">
      <w:pPr>
        <w:pStyle w:val="ListBullet"/>
      </w:pPr>
      <w:r w:rsidRPr="00B316E0">
        <w:t>Assessment processes and techniques must be appropriate to the language, literacy and numeracy requirements of the work being performed and the needs of the candidate.</w:t>
      </w:r>
    </w:p>
    <w:p w:rsidR="00000000" w:rsidRPr="00B316E0" w:rsidP="00B316E0">
      <w:pPr>
        <w:pStyle w:val="AllowPageBreak"/>
      </w:pPr>
    </w:p>
    <w:p w:rsidR="00000000" w:rsidRPr="00B316E0" w:rsidP="00B316E0">
      <w:pPr>
        <w:pStyle w:val="Heading1"/>
      </w:pPr>
      <w:bookmarkStart w:id="5" w:name="O_948496"/>
      <w:bookmarkEnd w:id="5"/>
      <w:r w:rsidRPr="00B316E0">
        <w:t>Links</w:t>
      </w:r>
    </w:p>
    <w:p w:rsidR="00000000" w:rsidRPr="00B316E0" w:rsidP="00C52599">
      <w:pPr>
        <w:pStyle w:val="BodyText"/>
      </w:pPr>
      <w:r w:rsidRPr="00B316E0">
        <w:t>Companion Volume implementation</w:t>
      </w:r>
      <w:r w:rsidRPr="00B316E0">
        <w:t xml:space="preserve">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914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16E0" w:rsidP="00B316E0"/>
    <w:sectPr w:rsidSect="00B31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E0" w:rsidRPr="00C52599" w:rsidP="00C52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9" w:rsidP="00B31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599" w:rsidP="00B31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2599" w:rsidP="00B31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6E0" w:rsidRPr="00C52599" w:rsidP="00C52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9" w:rsidRPr="002D2AF8" w:rsidP="00B31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MEM12024 Perform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2599" w:rsidP="00B31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9A2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2C9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441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6E0"/>
  </w:style>
  <w:style w:type="character" w:customStyle="1" w:styleId="Heading1Char">
    <w:name w:val="Heading 1 Char"/>
    <w:basedOn w:val="DefaultParagraphFont"/>
    <w:link w:val="Heading1"/>
    <w:rsid w:val="00B31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6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6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16E0"/>
    <w:rPr>
      <w:i/>
    </w:rPr>
  </w:style>
  <w:style w:type="paragraph" w:customStyle="1" w:styleId="SuperHeading">
    <w:name w:val="SuperHeading"/>
    <w:basedOn w:val="Normal"/>
    <w:rsid w:val="00B31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6E0"/>
    <w:rPr>
      <w:b/>
      <w:spacing w:val="0"/>
    </w:rPr>
  </w:style>
  <w:style w:type="paragraph" w:customStyle="1" w:styleId="SuperTitle">
    <w:name w:val="SuperTitle"/>
    <w:basedOn w:val="Title"/>
    <w:rsid w:val="00B31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6E0"/>
  </w:style>
  <w:style w:type="paragraph" w:styleId="TableofFigures">
    <w:name w:val="table of figures"/>
    <w:basedOn w:val="Normal"/>
    <w:next w:val="Normal"/>
    <w:semiHidden/>
    <w:rsid w:val="00B31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6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6E0"/>
    <w:rPr>
      <w:rFonts w:ascii="Wingdings" w:hAnsi="Wingdings"/>
    </w:rPr>
  </w:style>
  <w:style w:type="paragraph" w:customStyle="1" w:styleId="TableHeading">
    <w:name w:val="Table Heading"/>
    <w:basedOn w:val="HeadingBase"/>
    <w:rsid w:val="00B31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6E0"/>
    <w:rPr>
      <w:color w:val="0033CC"/>
      <w:u w:val="none"/>
    </w:rPr>
  </w:style>
  <w:style w:type="paragraph" w:customStyle="1" w:styleId="BodyTextRight">
    <w:name w:val="Body Text Right"/>
    <w:basedOn w:val="BodyText"/>
    <w:rsid w:val="00B31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6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6E0"/>
    <w:rPr>
      <w:sz w:val="32"/>
    </w:rPr>
  </w:style>
  <w:style w:type="paragraph" w:customStyle="1" w:styleId="HeadingProcedure">
    <w:name w:val="Heading Procedure"/>
    <w:basedOn w:val="HeadingBase"/>
    <w:next w:val="Normal"/>
    <w:rsid w:val="00B31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6E0"/>
    <w:pPr>
      <w:spacing w:before="60" w:after="60"/>
    </w:pPr>
  </w:style>
  <w:style w:type="paragraph" w:styleId="ListContinue">
    <w:name w:val="List Continue"/>
    <w:basedOn w:val="List"/>
    <w:rsid w:val="00B316E0"/>
    <w:pPr>
      <w:ind w:firstLine="0"/>
    </w:pPr>
  </w:style>
  <w:style w:type="paragraph" w:customStyle="1" w:styleId="ListNote">
    <w:name w:val="List Note"/>
    <w:basedOn w:val="List"/>
    <w:rsid w:val="00B31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6E0"/>
    <w:rPr>
      <w:rFonts w:ascii="Courier New" w:hAnsi="Courier New"/>
    </w:rPr>
  </w:style>
  <w:style w:type="paragraph" w:customStyle="1" w:styleId="NoteBullet">
    <w:name w:val="Note Bullet"/>
    <w:basedOn w:val="Note"/>
    <w:rsid w:val="00B31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6E0"/>
    <w:rPr>
      <w:b/>
      <w:smallCaps/>
    </w:rPr>
  </w:style>
  <w:style w:type="paragraph" w:customStyle="1" w:styleId="TableListNumber">
    <w:name w:val="Table List Number"/>
    <w:basedOn w:val="ListNumber"/>
    <w:rsid w:val="00B31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6E0"/>
    <w:pPr>
      <w:numPr>
        <w:numId w:val="9"/>
      </w:numPr>
    </w:pPr>
  </w:style>
  <w:style w:type="paragraph" w:customStyle="1" w:styleId="ListAlpha2">
    <w:name w:val="List Alpha 2"/>
    <w:basedOn w:val="List2"/>
    <w:rsid w:val="00B316E0"/>
    <w:pPr>
      <w:numPr>
        <w:numId w:val="8"/>
      </w:numPr>
    </w:pPr>
  </w:style>
  <w:style w:type="paragraph" w:styleId="List2">
    <w:name w:val="List 2"/>
    <w:basedOn w:val="BodyText"/>
    <w:rsid w:val="00B31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6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6E0"/>
    <w:pPr>
      <w:numPr>
        <w:numId w:val="4"/>
      </w:numPr>
    </w:pPr>
  </w:style>
  <w:style w:type="paragraph" w:styleId="ListContinue2">
    <w:name w:val="List Continue 2"/>
    <w:basedOn w:val="List2"/>
    <w:rsid w:val="00B316E0"/>
    <w:pPr>
      <w:ind w:firstLine="0"/>
    </w:pPr>
  </w:style>
  <w:style w:type="paragraph" w:styleId="ListContinue3">
    <w:name w:val="List Continue 3"/>
    <w:basedOn w:val="List3"/>
    <w:rsid w:val="00B316E0"/>
    <w:pPr>
      <w:ind w:left="1021" w:firstLine="0"/>
    </w:pPr>
  </w:style>
  <w:style w:type="paragraph" w:styleId="ListContinue4">
    <w:name w:val="List Continue 4"/>
    <w:basedOn w:val="List4"/>
    <w:rsid w:val="00B316E0"/>
    <w:pPr>
      <w:ind w:firstLine="0"/>
    </w:pPr>
  </w:style>
  <w:style w:type="paragraph" w:styleId="ListContinue5">
    <w:name w:val="List Continue 5"/>
    <w:basedOn w:val="List5"/>
    <w:rsid w:val="00B316E0"/>
    <w:pPr>
      <w:ind w:firstLine="0"/>
    </w:pPr>
  </w:style>
  <w:style w:type="paragraph" w:styleId="ListNumber3">
    <w:name w:val="List Number 3"/>
    <w:basedOn w:val="List3"/>
    <w:rsid w:val="00B316E0"/>
    <w:pPr>
      <w:numPr>
        <w:numId w:val="5"/>
      </w:numPr>
    </w:pPr>
  </w:style>
  <w:style w:type="paragraph" w:styleId="ListNumber4">
    <w:name w:val="List Number 4"/>
    <w:basedOn w:val="List4"/>
    <w:rsid w:val="00B316E0"/>
    <w:pPr>
      <w:numPr>
        <w:numId w:val="6"/>
      </w:numPr>
    </w:pPr>
  </w:style>
  <w:style w:type="paragraph" w:styleId="ListNumber5">
    <w:name w:val="List Number 5"/>
    <w:basedOn w:val="List5"/>
    <w:rsid w:val="00B316E0"/>
    <w:pPr>
      <w:numPr>
        <w:numId w:val="7"/>
      </w:numPr>
    </w:pPr>
  </w:style>
  <w:style w:type="paragraph" w:styleId="BlockText">
    <w:name w:val="Block Text"/>
    <w:basedOn w:val="Normal"/>
    <w:rsid w:val="00B31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6E0"/>
    <w:rPr>
      <w:sz w:val="16"/>
      <w:vertAlign w:val="superscript"/>
    </w:rPr>
  </w:style>
  <w:style w:type="character" w:customStyle="1" w:styleId="Symbols">
    <w:name w:val="Symbols"/>
    <w:basedOn w:val="DefaultParagraphFont"/>
    <w:rsid w:val="00B316E0"/>
    <w:rPr>
      <w:rFonts w:ascii="Symbol" w:hAnsi="Symbol"/>
    </w:rPr>
  </w:style>
  <w:style w:type="character" w:customStyle="1" w:styleId="MenuOptions">
    <w:name w:val="Menu Options"/>
    <w:basedOn w:val="DefaultParagraphFont"/>
    <w:rsid w:val="00B31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6E0"/>
    <w:rPr>
      <w:b/>
    </w:rPr>
  </w:style>
  <w:style w:type="character" w:customStyle="1" w:styleId="Underlined">
    <w:name w:val="Underlined"/>
    <w:basedOn w:val="DefaultParagraphFont"/>
    <w:rsid w:val="00B316E0"/>
    <w:rPr>
      <w:u w:val="single"/>
    </w:rPr>
  </w:style>
  <w:style w:type="paragraph" w:customStyle="1" w:styleId="TableBodyTextRight">
    <w:name w:val="Table Body Text Right"/>
    <w:basedOn w:val="TableBodyText"/>
    <w:rsid w:val="00B31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6E0"/>
    <w:rPr>
      <w:sz w:val="18"/>
    </w:rPr>
  </w:style>
  <w:style w:type="paragraph" w:customStyle="1" w:styleId="BodySmallRight">
    <w:name w:val="Body Small Right"/>
    <w:basedOn w:val="BodyTextRight"/>
    <w:rsid w:val="00B316E0"/>
    <w:rPr>
      <w:sz w:val="18"/>
      <w:szCs w:val="18"/>
    </w:rPr>
  </w:style>
  <w:style w:type="paragraph" w:customStyle="1" w:styleId="MarginEdition">
    <w:name w:val="Margin Edition"/>
    <w:basedOn w:val="MarginNote"/>
    <w:rsid w:val="00B31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6E0"/>
    <w:rPr>
      <w:sz w:val="2"/>
      <w:szCs w:val="2"/>
    </w:rPr>
  </w:style>
  <w:style w:type="character" w:customStyle="1" w:styleId="Small">
    <w:name w:val="Small"/>
    <w:basedOn w:val="DefaultParagraphFont"/>
    <w:rsid w:val="00B316E0"/>
    <w:rPr>
      <w:sz w:val="16"/>
    </w:rPr>
  </w:style>
  <w:style w:type="paragraph" w:customStyle="1" w:styleId="WideTable">
    <w:name w:val="Wide Table"/>
    <w:basedOn w:val="Normal"/>
    <w:rsid w:val="00B31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6E0"/>
  </w:style>
  <w:style w:type="paragraph" w:styleId="Quote">
    <w:name w:val="Quote"/>
    <w:basedOn w:val="Heading1"/>
    <w:link w:val="QuoteChar"/>
    <w:qFormat/>
    <w:rsid w:val="00B31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6E0"/>
    <w:pPr>
      <w:pageBreakBefore/>
    </w:pPr>
  </w:style>
  <w:style w:type="paragraph" w:customStyle="1" w:styleId="Border">
    <w:name w:val="Border"/>
    <w:basedOn w:val="Normal"/>
    <w:qFormat/>
    <w:rsid w:val="00B31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6E0"/>
    <w:rPr>
      <w:u w:val="single"/>
    </w:rPr>
  </w:style>
  <w:style w:type="character" w:customStyle="1" w:styleId="BoldandItalics">
    <w:name w:val="Bold and Italics"/>
    <w:qFormat/>
    <w:rsid w:val="00B316E0"/>
    <w:rPr>
      <w:b/>
      <w:i/>
      <w:u w:val="none"/>
    </w:rPr>
  </w:style>
  <w:style w:type="paragraph" w:styleId="BalloonText">
    <w:name w:val="Balloon Text"/>
    <w:basedOn w:val="Normal"/>
    <w:link w:val="BalloonTextChar"/>
    <w:rsid w:val="00B31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6E0"/>
    <w:pPr>
      <w:spacing w:before="0" w:after="0"/>
    </w:pPr>
  </w:style>
  <w:style w:type="paragraph" w:customStyle="1" w:styleId="BodyTextBold">
    <w:name w:val="Body Text Bold"/>
    <w:basedOn w:val="BodyText"/>
    <w:qFormat/>
    <w:rsid w:val="00B316E0"/>
    <w:rPr>
      <w:b/>
    </w:rPr>
  </w:style>
  <w:style w:type="character" w:styleId="Hyperlink">
    <w:name w:val="Hyperlink"/>
    <w:basedOn w:val="DefaultParagraphFont"/>
    <w:uiPriority w:val="99"/>
    <w:unhideWhenUsed/>
    <w:rsid w:val="00C52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3277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MEM12024 Perform computations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