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CB8" w:rsidP="00876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MEM12020 Set and operate coordinate measuring machines</w:t>
      </w:r>
      <w:r>
        <w:fldChar w:fldCharType="end"/>
      </w:r>
    </w:p>
    <w:p w:rsidR="00876CB8" w:rsidP="00876CB8">
      <w:pPr>
        <w:pStyle w:val="Version"/>
        <w:sectPr w:rsidSect="00DF7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B2C" w:rsidP="00DF7B2C">
      <w:pPr>
        <w:pStyle w:val="SuperHeading"/>
      </w:pPr>
      <w:r w:rsidRPr="00DF7B2C">
        <w:t>MEM12020 Set and operate coordinate measuring machines</w:t>
      </w:r>
    </w:p>
    <w:p w:rsidR="00000000" w:rsidRPr="00DF7B2C" w:rsidP="00DF7B2C">
      <w:pPr>
        <w:pStyle w:val="Heading1"/>
      </w:pPr>
      <w:bookmarkStart w:id="1" w:name="O_948425"/>
      <w:bookmarkEnd w:id="1"/>
      <w:r w:rsidRPr="00DF7B2C">
        <w:t>Modification History</w:t>
      </w:r>
    </w:p>
    <w:p w:rsidR="00000000" w:rsidRPr="00DF7B2C" w:rsidP="00876CB8">
      <w:pPr>
        <w:pStyle w:val="BodyText"/>
      </w:pPr>
      <w:r w:rsidRPr="00DF7B2C">
        <w:t>Release 1. Supersedes and is equivalent to MEM12020B Set and operate coordinate measuring machines</w:t>
      </w:r>
    </w:p>
    <w:p w:rsidR="00000000" w:rsidRPr="00DF7B2C" w:rsidP="00DF7B2C">
      <w:pPr>
        <w:pStyle w:val="Heading1"/>
      </w:pPr>
      <w:bookmarkStart w:id="2" w:name="O_948433"/>
      <w:bookmarkEnd w:id="2"/>
      <w:r w:rsidRPr="00DF7B2C">
        <w:t>Application</w:t>
      </w:r>
    </w:p>
    <w:p w:rsidR="00000000" w:rsidRPr="00DF7B2C" w:rsidP="00876CB8">
      <w:pPr>
        <w:pStyle w:val="BodyText"/>
      </w:pPr>
      <w:r w:rsidRPr="00DF7B2C">
        <w:t>This unit of competency defines the skills and knowledge required to set and operate a rang</w:t>
      </w:r>
      <w:r w:rsidRPr="00DF7B2C">
        <w:t>e of coordinate measuring machines (CMM).</w:t>
      </w:r>
    </w:p>
    <w:p w:rsidR="00000000" w:rsidRPr="00DF7B2C" w:rsidP="00876CB8">
      <w:pPr>
        <w:pStyle w:val="BodyText"/>
      </w:pPr>
      <w:r w:rsidRPr="00DF7B2C">
        <w:t xml:space="preserve">Appropriate levels of measurement, computer operations and drawing skills should be selected with this unit. </w:t>
      </w:r>
    </w:p>
    <w:p w:rsidR="00000000" w:rsidRPr="00DF7B2C" w:rsidP="00876CB8">
      <w:pPr>
        <w:pStyle w:val="BodyText"/>
      </w:pPr>
      <w:r w:rsidRPr="00DF7B2C">
        <w:t>Where interpretation of technical drawings is required unit MEM09002 Interpret technical drawing shoul</w:t>
      </w:r>
      <w:r w:rsidRPr="00DF7B2C">
        <w:t>d also be selected.</w:t>
      </w:r>
    </w:p>
    <w:p w:rsidR="00000000" w:rsidRPr="00DF7B2C" w:rsidP="00876CB8">
      <w:pPr>
        <w:pStyle w:val="BodyText"/>
      </w:pPr>
      <w:r w:rsidRPr="00DF7B2C">
        <w:t xml:space="preserve">Where a selection and use of tools is required unit MEM18001 Use hand tools should also be selected. </w:t>
      </w:r>
    </w:p>
    <w:p w:rsidR="00000000" w:rsidRPr="00DF7B2C" w:rsidP="00876CB8">
      <w:pPr>
        <w:pStyle w:val="BodyText"/>
      </w:pPr>
      <w:r w:rsidRPr="00DF7B2C">
        <w:t>No licensing, legislative or certification requirements apply to this unit at the time of publication.</w:t>
      </w:r>
    </w:p>
    <w:p w:rsidR="00000000" w:rsidRPr="00DF7B2C" w:rsidP="00DF7B2C">
      <w:pPr>
        <w:pStyle w:val="BodyText"/>
      </w:pPr>
      <w:r w:rsidRPr="00DF7B2C">
        <w:rPr>
          <w:rStyle w:val="SpecialBold"/>
        </w:rPr>
        <w:t>Band</w:t>
      </w:r>
      <w:r w:rsidRPr="00DF7B2C">
        <w:t>:</w:t>
      </w:r>
      <w:r w:rsidRPr="00DF7B2C">
        <w:tab/>
      </w:r>
      <w:r w:rsidRPr="00DF7B2C">
        <w:rPr>
          <w:rStyle w:val="SpecialBold"/>
        </w:rPr>
        <w:t>A</w:t>
      </w:r>
    </w:p>
    <w:p w:rsidR="00000000" w:rsidRPr="00DF7B2C" w:rsidP="00DF7B2C">
      <w:pPr>
        <w:pStyle w:val="BodyText"/>
      </w:pPr>
      <w:r w:rsidRPr="00DF7B2C">
        <w:rPr>
          <w:rStyle w:val="SpecialBold"/>
        </w:rPr>
        <w:t>Unit Weight</w:t>
      </w:r>
      <w:r w:rsidRPr="00DF7B2C">
        <w:t>:</w:t>
      </w:r>
      <w:r w:rsidRPr="00DF7B2C">
        <w:tab/>
      </w:r>
      <w:r w:rsidRPr="00DF7B2C">
        <w:rPr>
          <w:rStyle w:val="SpecialBold"/>
        </w:rPr>
        <w:t>2</w:t>
      </w:r>
    </w:p>
    <w:p w:rsidR="00000000" w:rsidRPr="00DF7B2C" w:rsidP="00DF7B2C">
      <w:pPr>
        <w:pStyle w:val="AllowPageBreak"/>
      </w:pPr>
    </w:p>
    <w:p w:rsidR="00000000" w:rsidRPr="00DF7B2C" w:rsidP="00DF7B2C">
      <w:pPr>
        <w:pStyle w:val="Heading1"/>
      </w:pPr>
      <w:bookmarkStart w:id="3" w:name="O_948432"/>
      <w:bookmarkEnd w:id="3"/>
      <w:r w:rsidRPr="00DF7B2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Work safely and effectively in manufacturing and engineering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BodyText"/>
            </w:pPr>
            <w:r w:rsidRPr="00DF7B2C">
              <w:t>Organise and communicate information</w:t>
            </w:r>
          </w:p>
        </w:tc>
      </w:tr>
    </w:tbl>
    <w:p w:rsidR="00000000" w:rsidRPr="00DF7B2C" w:rsidP="00DF7B2C">
      <w:pPr>
        <w:pStyle w:val="BodyText"/>
      </w:pPr>
    </w:p>
    <w:p w:rsidR="00000000" w:rsidRPr="00DF7B2C" w:rsidP="00DF7B2C">
      <w:pPr>
        <w:pStyle w:val="AllowPageBreak"/>
      </w:pPr>
    </w:p>
    <w:p w:rsidR="00000000" w:rsidRPr="00DF7B2C" w:rsidP="00DF7B2C">
      <w:pPr>
        <w:pStyle w:val="Heading1"/>
      </w:pPr>
      <w:bookmarkStart w:id="4" w:name="O_948431"/>
      <w:bookmarkEnd w:id="4"/>
      <w:r w:rsidRPr="00DF7B2C">
        <w:t>Competency Field</w:t>
      </w:r>
    </w:p>
    <w:p w:rsidR="00000000" w:rsidRPr="00DF7B2C" w:rsidP="00876CB8">
      <w:pPr>
        <w:pStyle w:val="BodyText"/>
      </w:pPr>
      <w:r w:rsidRPr="00DF7B2C">
        <w:t>Measurement</w:t>
      </w:r>
    </w:p>
    <w:p w:rsidR="00000000" w:rsidRPr="00DF7B2C" w:rsidP="00DF7B2C">
      <w:pPr>
        <w:pStyle w:val="Heading1"/>
      </w:pPr>
      <w:bookmarkStart w:id="5" w:name="O_948429"/>
      <w:bookmarkEnd w:id="5"/>
      <w:r w:rsidRPr="00DF7B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Performance criteria describe the performance needed to demonstrate achievement of the element.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BodyText"/>
            </w:pPr>
            <w:r w:rsidRPr="00DF7B2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Follow standard operating procedures (SOPs)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Comply with work health and safety (WHS) requirements at all times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Use appropriate personal protective equipment (PPE) in accordance with SOPs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Interpret drawing information and a range of tolerances that apply to components and establish datums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BodyText"/>
            </w:pPr>
            <w:r w:rsidRPr="00DF7B2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rPr>
                <w:rStyle w:val="SpecialBold"/>
              </w:rPr>
              <w:t>Set up/orient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Undertake pre-start checks in accordance with SOPs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Observe correct safety procedures and check all equipment for safe operation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Determine the most appropriate method of clamping/support to minimise distortion and maximise measuring access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 xml:space="preserve">Set up and orient component/fixture/clamping devices 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BodyText"/>
            </w:pPr>
            <w:r w:rsidRPr="00DF7B2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rPr>
                <w:rStyle w:val="SpecialBold"/>
              </w:rPr>
              <w:t>Select and activate part programs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Identify and verify part program, as required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Activate selected part program in accordance with SOPs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BodyText"/>
            </w:pPr>
            <w:r w:rsidRPr="00DF7B2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rPr>
                <w:rStyle w:val="SpecialBold"/>
              </w:rPr>
              <w:t>Prepare CMM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Determine probe configuration according to specifications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Adjust probe configuration on CMM according to SOPs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Check probe angles for compliance and adjust, as required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Re-calibrate CMM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Align probes manually for one-off components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BodyText"/>
            </w:pPr>
            <w:r w:rsidRPr="00DF7B2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rPr>
                <w:rStyle w:val="SpecialBold"/>
              </w:rPr>
              <w:t>Measure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Edit part program to compensate for errors or changes to component specifications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Measure components and check for conformance to specification</w:t>
            </w:r>
          </w:p>
        </w:tc>
      </w:tr>
      <w:tr w:rsidTr="00DF7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BodyText"/>
            </w:pPr>
            <w:r w:rsidRPr="00DF7B2C">
              <w:t>Produce data/report</w:t>
            </w:r>
          </w:p>
        </w:tc>
      </w:tr>
    </w:tbl>
    <w:p w:rsidR="00000000" w:rsidRPr="00DF7B2C" w:rsidP="00DF7B2C">
      <w:pPr>
        <w:pStyle w:val="BodyText"/>
      </w:pPr>
    </w:p>
    <w:p w:rsidR="00000000" w:rsidRPr="00DF7B2C" w:rsidP="00DF7B2C">
      <w:pPr>
        <w:pStyle w:val="AllowPageBreak"/>
      </w:pPr>
    </w:p>
    <w:p w:rsidR="00000000" w:rsidRPr="00DF7B2C" w:rsidP="00DF7B2C">
      <w:pPr>
        <w:pStyle w:val="Heading1"/>
      </w:pPr>
      <w:bookmarkStart w:id="6" w:name="O_948428"/>
      <w:bookmarkEnd w:id="6"/>
      <w:r w:rsidRPr="00DF7B2C">
        <w:t>Foundation Skills</w:t>
      </w:r>
    </w:p>
    <w:p w:rsidR="00000000" w:rsidRPr="00DF7B2C" w:rsidP="00876CB8">
      <w:pPr>
        <w:pStyle w:val="BodyText"/>
      </w:pPr>
      <w:r w:rsidRPr="00DF7B2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F7B2C" w:rsidP="00876CB8">
      <w:pPr>
        <w:pStyle w:val="BodyText"/>
      </w:pPr>
      <w:r w:rsidRPr="00DF7B2C">
        <w:t xml:space="preserve">Foundation skills essential to performance are explicit in the performance criteria </w:t>
      </w:r>
      <w:r w:rsidRPr="00DF7B2C">
        <w:t>of this unit of competency.</w:t>
      </w:r>
    </w:p>
    <w:p w:rsidR="00000000" w:rsidRPr="00DF7B2C" w:rsidP="00DF7B2C">
      <w:pPr>
        <w:pStyle w:val="Heading1"/>
      </w:pPr>
      <w:bookmarkStart w:id="7" w:name="O_948427"/>
      <w:bookmarkEnd w:id="7"/>
      <w:r w:rsidRPr="00DF7B2C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DF7B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t>This field allows for different work environments and conditions that may affect performance. Essential operating conditions that may be present (depending on the work situation, needs of the</w:t>
            </w:r>
            <w:r w:rsidRPr="00DF7B2C">
              <w:t xml:space="preserve"> candidate, accessibility of the item, and local industry and regional contexts) are included.</w:t>
            </w:r>
          </w:p>
        </w:tc>
      </w:tr>
      <w:tr w:rsidTr="00DF7B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rPr>
                <w:rStyle w:val="SpecialBold"/>
              </w:rPr>
              <w:t>CMMs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ListBullet"/>
            </w:pPr>
            <w:r w:rsidRPr="00DF7B2C">
              <w:t xml:space="preserve">manual machines </w:t>
            </w:r>
          </w:p>
          <w:p w:rsidR="00000000" w:rsidRPr="00DF7B2C" w:rsidP="00DF7B2C">
            <w:pPr>
              <w:pStyle w:val="ListBullet"/>
            </w:pPr>
            <w:r w:rsidRPr="00DF7B2C">
              <w:t>machines fitted with microprocessors</w:t>
            </w:r>
          </w:p>
          <w:p w:rsidR="00000000" w:rsidRPr="00DF7B2C" w:rsidP="00DF7B2C">
            <w:pPr>
              <w:pStyle w:val="ListBullet"/>
            </w:pPr>
            <w:r w:rsidRPr="00DF7B2C">
              <w:t>horizontal vertical and gantry tie machines</w:t>
            </w:r>
          </w:p>
          <w:p w:rsidR="00000000" w:rsidP="00DF7B2C">
            <w:pPr>
              <w:pStyle w:val="BodyText"/>
              <w:rPr>
                <w:lang w:val="en-NZ"/>
              </w:rPr>
            </w:pPr>
          </w:p>
        </w:tc>
      </w:tr>
      <w:tr w:rsidTr="00DF7B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rPr>
                <w:rStyle w:val="SpecialBold"/>
              </w:rPr>
              <w:t>Probes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ListBullet"/>
            </w:pPr>
            <w:r w:rsidRPr="00DF7B2C">
              <w:t>solid trigger probes</w:t>
            </w:r>
          </w:p>
          <w:p w:rsidR="00000000" w:rsidRPr="00DF7B2C" w:rsidP="00DF7B2C">
            <w:pPr>
              <w:pStyle w:val="ListBullet"/>
            </w:pPr>
            <w:r w:rsidRPr="00DF7B2C">
              <w:t>electronic trigger probes</w:t>
            </w:r>
          </w:p>
          <w:p w:rsidR="00000000" w:rsidP="00DF7B2C">
            <w:pPr>
              <w:pStyle w:val="BodyText"/>
              <w:rPr>
                <w:lang w:val="en-NZ"/>
              </w:rPr>
            </w:pPr>
          </w:p>
        </w:tc>
      </w:tr>
      <w:tr w:rsidTr="00DF7B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B2C">
            <w:pPr>
              <w:pStyle w:val="BodyText"/>
              <w:rPr>
                <w:lang w:val="en-NZ"/>
              </w:rPr>
            </w:pPr>
            <w:r w:rsidRPr="00DF7B2C">
              <w:rPr>
                <w:rStyle w:val="SpecialBold"/>
              </w:rPr>
              <w:t>Measure components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B2C" w:rsidP="00DF7B2C">
            <w:pPr>
              <w:pStyle w:val="ListBullet"/>
            </w:pPr>
            <w:r w:rsidRPr="00DF7B2C">
              <w:t xml:space="preserve">those which can be measured directly and those that require measurements to be constructed mathematically </w:t>
            </w:r>
          </w:p>
          <w:p w:rsidR="00000000" w:rsidRPr="00DF7B2C" w:rsidP="00DF7B2C">
            <w:pPr>
              <w:pStyle w:val="BodyText"/>
            </w:pPr>
          </w:p>
        </w:tc>
      </w:tr>
    </w:tbl>
    <w:p w:rsidR="00000000" w:rsidRPr="00DF7B2C" w:rsidP="00DF7B2C">
      <w:pPr>
        <w:pStyle w:val="BodyText"/>
      </w:pPr>
    </w:p>
    <w:p w:rsidR="00000000" w:rsidRPr="00DF7B2C" w:rsidP="00DF7B2C">
      <w:pPr>
        <w:pStyle w:val="AllowPageBreak"/>
      </w:pPr>
    </w:p>
    <w:p w:rsidR="00000000" w:rsidRPr="00DF7B2C" w:rsidP="00DF7B2C">
      <w:pPr>
        <w:pStyle w:val="Heading1"/>
      </w:pPr>
      <w:bookmarkStart w:id="8" w:name="O_948426"/>
      <w:bookmarkEnd w:id="8"/>
      <w:r w:rsidRPr="00DF7B2C">
        <w:t>Unit Mapping Information</w:t>
      </w:r>
    </w:p>
    <w:p w:rsidR="00876CB8" w:rsidP="00876CB8">
      <w:pPr>
        <w:pStyle w:val="BodyText"/>
      </w:pPr>
      <w:r w:rsidRPr="00DF7B2C">
        <w:t>Release 1. Supersedes and is equivalent to MEM12020B Set and operate coordinate measuring machines</w:t>
      </w:r>
    </w:p>
    <w:p w:rsidR="00000000" w:rsidRPr="00DF7B2C" w:rsidP="00DF7B2C">
      <w:pPr>
        <w:pStyle w:val="Heading1"/>
      </w:pPr>
      <w:bookmarkStart w:id="9" w:name="O_948419"/>
      <w:bookmarkEnd w:id="9"/>
      <w:r w:rsidRPr="00DF7B2C">
        <w:t>Links</w:t>
      </w:r>
    </w:p>
    <w:p w:rsidR="00000000" w:rsidRPr="00DF7B2C" w:rsidP="00876CB8">
      <w:pPr>
        <w:pStyle w:val="BodyText"/>
      </w:pPr>
      <w:r w:rsidRPr="00DF7B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727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F7B2C" w:rsidP="00DF7B2C"/>
    <w:sectPr w:rsidSect="00DF7B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2C" w:rsidRPr="00876CB8" w:rsidP="00876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B8" w:rsidP="00DF7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CB8" w:rsidP="00DF7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6CB8" w:rsidP="00DF7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B2C" w:rsidRPr="00876CB8" w:rsidP="00876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B8" w:rsidRPr="002D2AF8" w:rsidP="00DF7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MEM12020 Set and operate coordinate measuring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76CB8" w:rsidP="00DF7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9A8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440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B2C"/>
  </w:style>
  <w:style w:type="character" w:customStyle="1" w:styleId="Heading1Char">
    <w:name w:val="Heading 1 Char"/>
    <w:basedOn w:val="DefaultParagraphFont"/>
    <w:link w:val="Heading1"/>
    <w:rsid w:val="00DF7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B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B2C"/>
    <w:rPr>
      <w:b/>
      <w:spacing w:val="0"/>
    </w:rPr>
  </w:style>
  <w:style w:type="paragraph" w:customStyle="1" w:styleId="SuperHeading">
    <w:name w:val="SuperHeading"/>
    <w:basedOn w:val="Normal"/>
    <w:rsid w:val="00DF7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B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B2C"/>
    <w:rPr>
      <w:i/>
    </w:rPr>
  </w:style>
  <w:style w:type="paragraph" w:styleId="Caption">
    <w:name w:val="caption"/>
    <w:basedOn w:val="BodyText"/>
    <w:next w:val="Normal"/>
    <w:qFormat/>
    <w:rsid w:val="00DF7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B2C"/>
  </w:style>
  <w:style w:type="paragraph" w:styleId="TableofFigures">
    <w:name w:val="table of figures"/>
    <w:basedOn w:val="Normal"/>
    <w:next w:val="Normal"/>
    <w:semiHidden/>
    <w:rsid w:val="00DF7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B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B2C"/>
    <w:rPr>
      <w:rFonts w:ascii="Wingdings" w:hAnsi="Wingdings"/>
    </w:rPr>
  </w:style>
  <w:style w:type="paragraph" w:customStyle="1" w:styleId="TableHeading">
    <w:name w:val="Table Heading"/>
    <w:basedOn w:val="HeadingBase"/>
    <w:rsid w:val="00DF7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B2C"/>
    <w:rPr>
      <w:color w:val="0033CC"/>
      <w:u w:val="none"/>
    </w:rPr>
  </w:style>
  <w:style w:type="paragraph" w:customStyle="1" w:styleId="BodyTextRight">
    <w:name w:val="Body Text Right"/>
    <w:basedOn w:val="BodyText"/>
    <w:rsid w:val="00DF7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B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B2C"/>
    <w:rPr>
      <w:sz w:val="32"/>
    </w:rPr>
  </w:style>
  <w:style w:type="paragraph" w:customStyle="1" w:styleId="HeadingProcedure">
    <w:name w:val="Heading Procedure"/>
    <w:basedOn w:val="HeadingBase"/>
    <w:next w:val="Normal"/>
    <w:rsid w:val="00DF7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B2C"/>
    <w:pPr>
      <w:spacing w:before="60" w:after="60"/>
    </w:pPr>
  </w:style>
  <w:style w:type="paragraph" w:styleId="ListContinue">
    <w:name w:val="List Continue"/>
    <w:basedOn w:val="List"/>
    <w:rsid w:val="00DF7B2C"/>
    <w:pPr>
      <w:ind w:firstLine="0"/>
    </w:pPr>
  </w:style>
  <w:style w:type="paragraph" w:customStyle="1" w:styleId="ListNote">
    <w:name w:val="List Note"/>
    <w:basedOn w:val="List"/>
    <w:rsid w:val="00DF7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B2C"/>
    <w:rPr>
      <w:rFonts w:ascii="Courier New" w:hAnsi="Courier New"/>
    </w:rPr>
  </w:style>
  <w:style w:type="paragraph" w:customStyle="1" w:styleId="NoteBullet">
    <w:name w:val="Note Bullet"/>
    <w:basedOn w:val="Note"/>
    <w:rsid w:val="00DF7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B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B2C"/>
    <w:rPr>
      <w:b/>
      <w:smallCaps/>
    </w:rPr>
  </w:style>
  <w:style w:type="paragraph" w:customStyle="1" w:styleId="TableListNumber">
    <w:name w:val="Table List Number"/>
    <w:basedOn w:val="ListNumber"/>
    <w:rsid w:val="00DF7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B2C"/>
    <w:pPr>
      <w:numPr>
        <w:numId w:val="8"/>
      </w:numPr>
    </w:pPr>
  </w:style>
  <w:style w:type="paragraph" w:customStyle="1" w:styleId="ListAlpha2">
    <w:name w:val="List Alpha 2"/>
    <w:basedOn w:val="List2"/>
    <w:rsid w:val="00DF7B2C"/>
    <w:pPr>
      <w:numPr>
        <w:numId w:val="7"/>
      </w:numPr>
    </w:pPr>
  </w:style>
  <w:style w:type="paragraph" w:styleId="List2">
    <w:name w:val="List 2"/>
    <w:basedOn w:val="BodyText"/>
    <w:rsid w:val="00DF7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B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B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B2C"/>
    <w:pPr>
      <w:numPr>
        <w:numId w:val="3"/>
      </w:numPr>
    </w:pPr>
  </w:style>
  <w:style w:type="paragraph" w:styleId="ListContinue2">
    <w:name w:val="List Continue 2"/>
    <w:basedOn w:val="List2"/>
    <w:rsid w:val="00DF7B2C"/>
    <w:pPr>
      <w:ind w:firstLine="0"/>
    </w:pPr>
  </w:style>
  <w:style w:type="paragraph" w:styleId="ListContinue3">
    <w:name w:val="List Continue 3"/>
    <w:basedOn w:val="List3"/>
    <w:rsid w:val="00DF7B2C"/>
    <w:pPr>
      <w:ind w:left="1021" w:firstLine="0"/>
    </w:pPr>
  </w:style>
  <w:style w:type="paragraph" w:styleId="ListContinue4">
    <w:name w:val="List Continue 4"/>
    <w:basedOn w:val="List4"/>
    <w:rsid w:val="00DF7B2C"/>
    <w:pPr>
      <w:ind w:firstLine="0"/>
    </w:pPr>
  </w:style>
  <w:style w:type="paragraph" w:styleId="ListContinue5">
    <w:name w:val="List Continue 5"/>
    <w:basedOn w:val="List5"/>
    <w:rsid w:val="00DF7B2C"/>
    <w:pPr>
      <w:ind w:firstLine="0"/>
    </w:pPr>
  </w:style>
  <w:style w:type="paragraph" w:styleId="ListNumber3">
    <w:name w:val="List Number 3"/>
    <w:basedOn w:val="List3"/>
    <w:rsid w:val="00DF7B2C"/>
    <w:pPr>
      <w:numPr>
        <w:numId w:val="4"/>
      </w:numPr>
    </w:pPr>
  </w:style>
  <w:style w:type="paragraph" w:styleId="ListNumber4">
    <w:name w:val="List Number 4"/>
    <w:basedOn w:val="List4"/>
    <w:rsid w:val="00DF7B2C"/>
    <w:pPr>
      <w:numPr>
        <w:numId w:val="5"/>
      </w:numPr>
    </w:pPr>
  </w:style>
  <w:style w:type="paragraph" w:styleId="ListNumber5">
    <w:name w:val="List Number 5"/>
    <w:basedOn w:val="List5"/>
    <w:rsid w:val="00DF7B2C"/>
    <w:pPr>
      <w:numPr>
        <w:numId w:val="6"/>
      </w:numPr>
    </w:pPr>
  </w:style>
  <w:style w:type="paragraph" w:styleId="BlockText">
    <w:name w:val="Block Text"/>
    <w:basedOn w:val="Normal"/>
    <w:rsid w:val="00DF7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B2C"/>
    <w:rPr>
      <w:sz w:val="16"/>
      <w:vertAlign w:val="superscript"/>
    </w:rPr>
  </w:style>
  <w:style w:type="character" w:customStyle="1" w:styleId="Symbols">
    <w:name w:val="Symbols"/>
    <w:basedOn w:val="DefaultParagraphFont"/>
    <w:rsid w:val="00DF7B2C"/>
    <w:rPr>
      <w:rFonts w:ascii="Symbol" w:hAnsi="Symbol"/>
    </w:rPr>
  </w:style>
  <w:style w:type="character" w:customStyle="1" w:styleId="MenuOptions">
    <w:name w:val="Menu Options"/>
    <w:basedOn w:val="DefaultParagraphFont"/>
    <w:rsid w:val="00DF7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B2C"/>
    <w:rPr>
      <w:b/>
    </w:rPr>
  </w:style>
  <w:style w:type="character" w:customStyle="1" w:styleId="Underlined">
    <w:name w:val="Underlined"/>
    <w:basedOn w:val="DefaultParagraphFont"/>
    <w:rsid w:val="00DF7B2C"/>
    <w:rPr>
      <w:u w:val="single"/>
    </w:rPr>
  </w:style>
  <w:style w:type="paragraph" w:customStyle="1" w:styleId="TableBodyTextRight">
    <w:name w:val="Table Body Text Right"/>
    <w:basedOn w:val="TableBodyText"/>
    <w:rsid w:val="00DF7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B2C"/>
    <w:rPr>
      <w:sz w:val="18"/>
    </w:rPr>
  </w:style>
  <w:style w:type="paragraph" w:customStyle="1" w:styleId="BodySmallRight">
    <w:name w:val="Body Small Right"/>
    <w:basedOn w:val="BodyTextRight"/>
    <w:rsid w:val="00DF7B2C"/>
    <w:rPr>
      <w:sz w:val="18"/>
      <w:szCs w:val="18"/>
    </w:rPr>
  </w:style>
  <w:style w:type="paragraph" w:customStyle="1" w:styleId="MarginEdition">
    <w:name w:val="Margin Edition"/>
    <w:basedOn w:val="MarginNote"/>
    <w:rsid w:val="00DF7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B2C"/>
    <w:rPr>
      <w:sz w:val="2"/>
      <w:szCs w:val="2"/>
    </w:rPr>
  </w:style>
  <w:style w:type="character" w:customStyle="1" w:styleId="Small">
    <w:name w:val="Small"/>
    <w:basedOn w:val="DefaultParagraphFont"/>
    <w:rsid w:val="00DF7B2C"/>
    <w:rPr>
      <w:sz w:val="16"/>
    </w:rPr>
  </w:style>
  <w:style w:type="paragraph" w:customStyle="1" w:styleId="WideTable">
    <w:name w:val="Wide Table"/>
    <w:basedOn w:val="Normal"/>
    <w:rsid w:val="00DF7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B2C"/>
  </w:style>
  <w:style w:type="paragraph" w:styleId="Quote">
    <w:name w:val="Quote"/>
    <w:basedOn w:val="Heading1"/>
    <w:link w:val="QuoteChar"/>
    <w:qFormat/>
    <w:rsid w:val="00DF7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B2C"/>
    <w:pPr>
      <w:pageBreakBefore/>
    </w:pPr>
  </w:style>
  <w:style w:type="paragraph" w:customStyle="1" w:styleId="Border">
    <w:name w:val="Border"/>
    <w:basedOn w:val="Normal"/>
    <w:qFormat/>
    <w:rsid w:val="00DF7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B2C"/>
    <w:rPr>
      <w:u w:val="single"/>
    </w:rPr>
  </w:style>
  <w:style w:type="character" w:customStyle="1" w:styleId="BoldandItalics">
    <w:name w:val="Bold and Italics"/>
    <w:qFormat/>
    <w:rsid w:val="00DF7B2C"/>
    <w:rPr>
      <w:b/>
      <w:i/>
      <w:u w:val="none"/>
    </w:rPr>
  </w:style>
  <w:style w:type="paragraph" w:styleId="BalloonText">
    <w:name w:val="Balloon Text"/>
    <w:basedOn w:val="Normal"/>
    <w:link w:val="BalloonTextChar"/>
    <w:rsid w:val="00DF7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B2C"/>
    <w:pPr>
      <w:spacing w:before="0" w:after="0"/>
    </w:pPr>
  </w:style>
  <w:style w:type="paragraph" w:customStyle="1" w:styleId="BodyTextBold">
    <w:name w:val="Body Text Bold"/>
    <w:basedOn w:val="BodyText"/>
    <w:qFormat/>
    <w:rsid w:val="00DF7B2C"/>
    <w:rPr>
      <w:b/>
    </w:rPr>
  </w:style>
  <w:style w:type="character" w:styleId="Hyperlink">
    <w:name w:val="Hyperlink"/>
    <w:basedOn w:val="DefaultParagraphFont"/>
    <w:uiPriority w:val="99"/>
    <w:unhideWhenUsed/>
    <w:rsid w:val="00876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3421</Characters>
  <Application>Microsoft Office Word</Application>
  <DocSecurity>0</DocSecurity>
  <Lines>190</Lines>
  <Paragraphs>107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MEM12020 Set and operate coordinate measuring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