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C64" w:rsidP="006C5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MEM12005 Calibrate measuring equipment</w:t>
      </w:r>
      <w:r>
        <w:fldChar w:fldCharType="end"/>
      </w:r>
    </w:p>
    <w:p w:rsidR="006C5C64" w:rsidP="006C5C64">
      <w:pPr>
        <w:pStyle w:val="Version"/>
        <w:sectPr w:rsidSect="00975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E62" w:rsidP="00975E62">
      <w:pPr>
        <w:pStyle w:val="SuperHeading"/>
      </w:pPr>
      <w:r w:rsidRPr="00975E62">
        <w:t>MEM12005 Calibrate measuring equipment</w:t>
      </w:r>
    </w:p>
    <w:p w:rsidR="00000000" w:rsidRPr="00975E62" w:rsidP="00975E62">
      <w:pPr>
        <w:pStyle w:val="Heading1"/>
      </w:pPr>
      <w:bookmarkStart w:id="1" w:name="O_948349"/>
      <w:bookmarkEnd w:id="1"/>
      <w:r w:rsidRPr="00975E62">
        <w:t>Modification History</w:t>
      </w:r>
    </w:p>
    <w:p w:rsidR="00000000" w:rsidRPr="00975E62" w:rsidP="006C5C64">
      <w:pPr>
        <w:pStyle w:val="BodyText"/>
      </w:pPr>
      <w:r w:rsidRPr="00975E62">
        <w:t xml:space="preserve">Release 1. Supersedes and is equivalent to MEM12005B Calibrate measuring equipment </w:t>
      </w:r>
    </w:p>
    <w:p w:rsidR="00000000" w:rsidRPr="00975E62" w:rsidP="00975E62">
      <w:pPr>
        <w:pStyle w:val="Heading1"/>
      </w:pPr>
      <w:bookmarkStart w:id="2" w:name="O_948357"/>
      <w:bookmarkEnd w:id="2"/>
      <w:r w:rsidRPr="00975E62">
        <w:t>Application</w:t>
      </w:r>
    </w:p>
    <w:p w:rsidR="00000000" w:rsidRPr="00975E62" w:rsidP="006C5C64">
      <w:pPr>
        <w:pStyle w:val="BodyText"/>
      </w:pPr>
      <w:r w:rsidRPr="00975E62">
        <w:t>This unit of competency defines the skills and knowledge required to check measuring equipment for correct operation and v</w:t>
      </w:r>
      <w:r w:rsidRPr="00975E62">
        <w:t>alidate/calibrate precision measuring equipment in accordance with predetermined procedures.</w:t>
      </w:r>
    </w:p>
    <w:p w:rsidR="00000000" w:rsidRPr="00975E62" w:rsidP="006C5C64">
      <w:pPr>
        <w:pStyle w:val="BodyText"/>
      </w:pPr>
      <w:r w:rsidRPr="00975E62">
        <w:t>It applies to the calibration skills used in the setting, adjustment, validation or verification of precision mechanical and/or electrical/electronic measuring in</w:t>
      </w:r>
      <w:r w:rsidRPr="00975E62">
        <w:t xml:space="preserve">struments using reference standards. This involves the use of electronic setting equipment and the selection or determination of an appropriate external standard. </w:t>
      </w:r>
    </w:p>
    <w:p w:rsidR="00000000" w:rsidRPr="00975E62" w:rsidP="006C5C64">
      <w:pPr>
        <w:pStyle w:val="BodyText"/>
      </w:pPr>
      <w:r w:rsidRPr="00975E62">
        <w:t>Where interpretation of technical drawings is required unit MEM09002 Interpret technical dr</w:t>
      </w:r>
      <w:r w:rsidRPr="00975E62">
        <w:t>awing should also be selected.</w:t>
      </w:r>
    </w:p>
    <w:p w:rsidR="00000000" w:rsidRPr="00975E62" w:rsidP="006C5C64">
      <w:pPr>
        <w:pStyle w:val="BodyText"/>
      </w:pPr>
      <w:r w:rsidRPr="00975E62">
        <w:t>This unit is not meant to apply to simple zeroing, external adjustment or manual adjustment for size range, e.g. micrometres. These skills are covered by units:</w:t>
      </w:r>
    </w:p>
    <w:p w:rsidR="00000000" w:rsidRPr="00975E62" w:rsidP="00975E62">
      <w:pPr>
        <w:pStyle w:val="ListBullet"/>
      </w:pPr>
      <w:r w:rsidRPr="00975E62">
        <w:t>MEM12023 Perform engineering measurements</w:t>
      </w:r>
    </w:p>
    <w:p w:rsidR="00000000" w:rsidRPr="00975E62" w:rsidP="00975E62">
      <w:pPr>
        <w:pStyle w:val="ListBullet"/>
      </w:pPr>
      <w:r w:rsidRPr="00975E62">
        <w:t>MEM12003 Perform pre</w:t>
      </w:r>
      <w:r w:rsidRPr="00975E62">
        <w:t>cision mechanical measurement</w:t>
      </w:r>
    </w:p>
    <w:p w:rsidR="00000000" w:rsidRPr="00975E62" w:rsidP="00975E62">
      <w:pPr>
        <w:pStyle w:val="ListBullet"/>
      </w:pPr>
      <w:r w:rsidRPr="00975E62">
        <w:t>MEM12004 Perform precision electrical/electronic measurement.</w:t>
      </w:r>
    </w:p>
    <w:p w:rsidR="00000000" w:rsidRPr="00975E62" w:rsidP="00975E62">
      <w:pPr>
        <w:pStyle w:val="BodyText"/>
      </w:pPr>
    </w:p>
    <w:p w:rsidR="00000000" w:rsidRPr="00975E62" w:rsidP="006C5C64">
      <w:pPr>
        <w:pStyle w:val="BodyText"/>
      </w:pPr>
      <w:r w:rsidRPr="00975E62">
        <w:t>There may be occasions when both pathways units MEM12003 Perform precision mechanical measurement and MEM12002 Perform electrical/electronic measurement will be re</w:t>
      </w:r>
      <w:r w:rsidRPr="00975E62">
        <w:t xml:space="preserve">quired. </w:t>
      </w:r>
    </w:p>
    <w:p w:rsidR="00000000" w:rsidRPr="00975E62" w:rsidP="006C5C64">
      <w:pPr>
        <w:pStyle w:val="BodyText"/>
      </w:pPr>
      <w:r w:rsidRPr="00975E62">
        <w:t>Where additional electrical/electronic measurement skills are required unit MEM12004 Perform precision electrical/electronic measurement should also be selected.</w:t>
      </w:r>
    </w:p>
    <w:p w:rsidR="00000000" w:rsidRPr="00975E62" w:rsidP="006C5C64">
      <w:pPr>
        <w:pStyle w:val="BodyText"/>
      </w:pPr>
      <w:r w:rsidRPr="00975E62">
        <w:t>Competence in this unit does not require the level of skill that applies to calibra</w:t>
      </w:r>
      <w:r w:rsidRPr="00975E62">
        <w:t>tion as defined in ISO 9000 and/or carried out by personnel accredited under ISO/IEC 17025/NATA certification or similar. Unit MEM15010 Perform laboratory procedures should be considered for this level of calibration.</w:t>
      </w:r>
    </w:p>
    <w:p w:rsidR="00000000" w:rsidRPr="00975E62" w:rsidP="006C5C64">
      <w:pPr>
        <w:pStyle w:val="BodyText"/>
      </w:pPr>
      <w:r w:rsidRPr="00975E62">
        <w:t>Where reference standards only are to be verified under laboratory conditions unit MEM15022 Verify reference standards should also be selected.</w:t>
      </w:r>
    </w:p>
    <w:p w:rsidR="00000000" w:rsidRPr="00975E62" w:rsidP="006C5C64">
      <w:pPr>
        <w:pStyle w:val="BodyText"/>
      </w:pPr>
      <w:r w:rsidRPr="00975E62">
        <w:t>Where the selection and use of hand tools is required unit MEM18001 Use hand tools should also be selected.</w:t>
      </w:r>
    </w:p>
    <w:p w:rsidR="00000000" w:rsidRPr="00975E62" w:rsidP="006C5C64">
      <w:pPr>
        <w:pStyle w:val="BodyText"/>
      </w:pPr>
      <w:r w:rsidRPr="00975E62">
        <w:t>No</w:t>
      </w:r>
      <w:r w:rsidRPr="00975E62">
        <w:t xml:space="preserve"> licensing, legislative or certification requirements apply to this unit at the time of publication.</w:t>
      </w:r>
    </w:p>
    <w:p w:rsidR="00000000" w:rsidRPr="00975E62" w:rsidP="00975E62">
      <w:pPr>
        <w:pStyle w:val="BodyText"/>
      </w:pPr>
      <w:r w:rsidRPr="00975E62">
        <w:rPr>
          <w:rStyle w:val="SpecialBold"/>
        </w:rPr>
        <w:t>Band</w:t>
      </w:r>
      <w:r w:rsidRPr="00975E62">
        <w:t>:</w:t>
      </w:r>
      <w:r w:rsidRPr="00975E62">
        <w:tab/>
      </w:r>
      <w:r w:rsidRPr="00975E62">
        <w:rPr>
          <w:rStyle w:val="SpecialBold"/>
        </w:rPr>
        <w:t>B</w:t>
      </w:r>
    </w:p>
    <w:p w:rsidR="00000000" w:rsidRPr="00975E62" w:rsidP="00975E62">
      <w:pPr>
        <w:pStyle w:val="BodyText"/>
      </w:pPr>
      <w:r w:rsidRPr="00975E62">
        <w:rPr>
          <w:rStyle w:val="SpecialBold"/>
        </w:rPr>
        <w:t>Unit Weight</w:t>
      </w:r>
      <w:r w:rsidRPr="00975E62">
        <w:t>:</w:t>
      </w:r>
      <w:r w:rsidRPr="00975E62">
        <w:tab/>
      </w:r>
      <w:r w:rsidRPr="00975E62">
        <w:rPr>
          <w:rStyle w:val="SpecialBold"/>
        </w:rPr>
        <w:t>6</w:t>
      </w:r>
    </w:p>
    <w:p w:rsidR="00000000" w:rsidRPr="00975E62" w:rsidP="00975E62">
      <w:pPr>
        <w:pStyle w:val="AllowPageBreak"/>
      </w:pPr>
    </w:p>
    <w:p w:rsidR="00000000" w:rsidRPr="00975E62" w:rsidP="00975E62">
      <w:pPr>
        <w:pStyle w:val="Heading1"/>
      </w:pPr>
      <w:bookmarkStart w:id="3" w:name="O_948356"/>
      <w:bookmarkEnd w:id="3"/>
      <w:r w:rsidRPr="00975E62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0"/>
        <w:gridCol w:w="2349"/>
        <w:gridCol w:w="4697"/>
      </w:tblGrid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Path 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MEM11011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Undertake manual handling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MEM12003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Perform precision mechanical measurement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MEM12023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Perform engineering measurements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MEM13015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Work safely and effectively in manufacturing and engineering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MEM16006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Organise and communicate information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Path 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MEM11011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Undertake manual handling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MEM12002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Perform electrical/electronic measurement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MEM12023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Perform engineering measurements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MEM13015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Work safely and effectively in manufacturing and engineering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MEM16006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BodyText"/>
            </w:pPr>
            <w:r w:rsidRPr="00975E62">
              <w:t>Organise and communicate information</w:t>
            </w:r>
          </w:p>
        </w:tc>
      </w:tr>
    </w:tbl>
    <w:p w:rsidR="006C5C64" w:rsidP="00975E62">
      <w:pPr>
        <w:pStyle w:val="BodyText"/>
      </w:pPr>
    </w:p>
    <w:p w:rsidR="006C5C64" w:rsidP="00975E62">
      <w:pPr>
        <w:pStyle w:val="BodyText"/>
      </w:pPr>
    </w:p>
    <w:p w:rsidR="00000000" w:rsidRPr="00975E62" w:rsidP="00975E62">
      <w:pPr>
        <w:pStyle w:val="Heading1"/>
      </w:pPr>
      <w:bookmarkStart w:id="4" w:name="O_948355"/>
      <w:bookmarkEnd w:id="4"/>
      <w:r w:rsidRPr="00975E62">
        <w:t>Competency Field</w:t>
      </w:r>
    </w:p>
    <w:p w:rsidR="00000000" w:rsidRPr="00975E62" w:rsidP="006C5C64">
      <w:pPr>
        <w:pStyle w:val="BodyText"/>
      </w:pPr>
      <w:r w:rsidRPr="00975E62">
        <w:t>Measurement</w:t>
      </w:r>
    </w:p>
    <w:p w:rsidR="00000000" w:rsidRPr="00975E62" w:rsidP="00975E62">
      <w:pPr>
        <w:pStyle w:val="Heading1"/>
      </w:pPr>
      <w:bookmarkStart w:id="5" w:name="O_948353"/>
      <w:bookmarkEnd w:id="5"/>
      <w:r w:rsidRPr="00975E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Performance criteria describe the performance needed to demonstrate achievement of the element.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BodyText"/>
            </w:pPr>
            <w:r w:rsidRPr="00975E6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Follow standard operating procedures (SOPs)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Comply with work health and safety (WHS) requirements at all times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Use appropriate personal protective equipment (PPE) in accordance with SOPs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Identify job requirements from specifications, job sheets or work instructions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BodyText"/>
            </w:pPr>
            <w:r w:rsidRPr="00975E6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Check equipment for correct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Check equipment for correct operation in accordance with manufacturers’</w:t>
            </w:r>
            <w:r w:rsidRPr="00975E62">
              <w:t xml:space="preserve"> specifications using appropriate tools, equipment and techniques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Carry out appropriate checks of components, leads, fasteners for wear, loose connections or other faults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BodyText"/>
            </w:pPr>
            <w:r w:rsidRPr="00975E6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Validate/calibrate precision measuring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Assess calibration of precision measuring equipment to manufacturers</w:t>
            </w:r>
            <w:r>
              <w:t>’</w:t>
            </w:r>
            <w:r w:rsidRPr="00975E62">
              <w:t xml:space="preserve"> specifications and/or SOPs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Calibrate equipment against appropriate physical standards using correct calibration devices, equipment and techniques using predetermined procedures</w:t>
            </w:r>
          </w:p>
        </w:tc>
      </w:tr>
      <w:tr w:rsidTr="0097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BodyText"/>
            </w:pPr>
            <w:r w:rsidRPr="00975E62">
              <w:t>Recommission equipment in accordance with SOPs</w:t>
            </w:r>
          </w:p>
        </w:tc>
      </w:tr>
    </w:tbl>
    <w:p w:rsidR="00000000" w:rsidRPr="00975E62" w:rsidP="00975E62">
      <w:pPr>
        <w:pStyle w:val="BodyText"/>
      </w:pPr>
    </w:p>
    <w:p w:rsidR="00000000" w:rsidRPr="00975E62" w:rsidP="00975E62">
      <w:pPr>
        <w:pStyle w:val="AllowPageBreak"/>
      </w:pPr>
    </w:p>
    <w:p w:rsidR="00000000" w:rsidRPr="00975E62" w:rsidP="00975E62">
      <w:pPr>
        <w:pStyle w:val="Heading1"/>
      </w:pPr>
      <w:bookmarkStart w:id="6" w:name="O_948352"/>
      <w:bookmarkEnd w:id="6"/>
      <w:r w:rsidRPr="00975E62">
        <w:t>Foundation Skills</w:t>
      </w:r>
    </w:p>
    <w:p w:rsidR="00000000" w:rsidRPr="00975E62" w:rsidP="006C5C64">
      <w:pPr>
        <w:pStyle w:val="BodyText"/>
      </w:pPr>
      <w:r w:rsidRPr="00975E62">
        <w:t>This section describes those required skills (reading, writing, oral communication and numeracy) that are essential to workplace performance in this unit of competency</w:t>
      </w:r>
      <w:r w:rsidRPr="00975E62">
        <w:t xml:space="preserve">.  </w:t>
      </w:r>
    </w:p>
    <w:p w:rsidR="00000000" w:rsidRPr="00975E62" w:rsidP="006C5C64">
      <w:pPr>
        <w:pStyle w:val="BodyText"/>
      </w:pPr>
      <w:r w:rsidRPr="00975E62">
        <w:t>Foundation skills essential to performance are explicit in the performance criteria of this unit of competency.</w:t>
      </w:r>
    </w:p>
    <w:p w:rsidR="00000000" w:rsidRPr="00975E62" w:rsidP="00975E62">
      <w:pPr>
        <w:pStyle w:val="Heading1"/>
      </w:pPr>
      <w:bookmarkStart w:id="7" w:name="O_948351"/>
      <w:bookmarkEnd w:id="7"/>
      <w:r w:rsidRPr="00975E6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528"/>
      </w:tblGrid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t>This field allows for different work environments and conditions that may affect performance. Essentia</w:t>
            </w:r>
            <w:r w:rsidRPr="00975E62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Physical standards include one (1) or more of the following:</w:t>
            </w:r>
            <w:r w:rsidRPr="00975E62">
              <w:t xml:space="preserve"> 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ListBullet"/>
            </w:pPr>
            <w:r w:rsidRPr="00975E62">
              <w:t>mass</w:t>
            </w:r>
          </w:p>
          <w:p w:rsidR="00000000" w:rsidRPr="00975E62" w:rsidP="00975E62">
            <w:pPr>
              <w:pStyle w:val="ListBullet"/>
            </w:pPr>
            <w:r w:rsidRPr="00975E62">
              <w:t>length</w:t>
            </w:r>
          </w:p>
          <w:p w:rsidR="00000000" w:rsidRPr="00975E62" w:rsidP="00975E62">
            <w:pPr>
              <w:pStyle w:val="ListBullet"/>
            </w:pPr>
            <w:r w:rsidRPr="00975E62">
              <w:t>time</w:t>
            </w:r>
          </w:p>
          <w:p w:rsidR="00000000" w:rsidRPr="00975E62" w:rsidP="00975E62">
            <w:pPr>
              <w:pStyle w:val="ListBullet"/>
            </w:pPr>
            <w:r w:rsidRPr="00975E62">
              <w:t>temperature</w:t>
            </w:r>
          </w:p>
          <w:p w:rsidR="00000000" w:rsidRPr="00975E62" w:rsidP="00975E62">
            <w:pPr>
              <w:pStyle w:val="ListBullet"/>
            </w:pPr>
            <w:r w:rsidRPr="00975E62">
              <w:t>pressure</w:t>
            </w:r>
          </w:p>
          <w:p w:rsidR="00000000" w:rsidRPr="00975E62" w:rsidP="00975E62">
            <w:pPr>
              <w:pStyle w:val="ListBullet"/>
            </w:pPr>
            <w:r w:rsidRPr="00975E62">
              <w:t>volume</w:t>
            </w:r>
          </w:p>
          <w:p w:rsidR="00000000" w:rsidRPr="00975E62" w:rsidP="00975E62">
            <w:pPr>
              <w:pStyle w:val="ListBullet"/>
            </w:pPr>
            <w:r w:rsidRPr="00975E62">
              <w:t xml:space="preserve">process characteristics </w:t>
            </w:r>
          </w:p>
          <w:p w:rsidR="00000000" w:rsidP="00975E62">
            <w:pPr>
              <w:pStyle w:val="BodyText"/>
              <w:rPr>
                <w:lang w:val="en-NZ"/>
              </w:rPr>
            </w:pP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Calibration devices and</w:t>
            </w:r>
            <w:r w:rsidRPr="00975E62">
              <w:t xml:space="preserve"> </w:t>
            </w:r>
            <w:r w:rsidRPr="00975E62">
              <w:rPr>
                <w:rStyle w:val="SpecialBold"/>
              </w:rPr>
              <w:t>equipment include one (1) or more of the following: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ListBullet"/>
            </w:pPr>
            <w:r w:rsidRPr="00975E62">
              <w:t>micrometre</w:t>
            </w:r>
          </w:p>
          <w:p w:rsidR="00000000" w:rsidRPr="00975E62" w:rsidP="00975E62">
            <w:pPr>
              <w:pStyle w:val="ListBullet"/>
            </w:pPr>
            <w:r w:rsidRPr="00975E62">
              <w:t>vernier caliper</w:t>
            </w:r>
          </w:p>
          <w:p w:rsidR="00000000" w:rsidRPr="00975E62" w:rsidP="00975E62">
            <w:pPr>
              <w:pStyle w:val="ListBullet"/>
            </w:pPr>
            <w:r w:rsidRPr="00975E62">
              <w:t>voltmeter</w:t>
            </w:r>
          </w:p>
          <w:p w:rsidR="00000000" w:rsidRPr="00975E62" w:rsidP="00975E62">
            <w:pPr>
              <w:pStyle w:val="ListBullet"/>
            </w:pPr>
            <w:r w:rsidRPr="00975E62">
              <w:t>oscilloscope</w:t>
            </w:r>
          </w:p>
          <w:p w:rsidR="00000000" w:rsidRPr="00975E62" w:rsidP="00975E62">
            <w:pPr>
              <w:pStyle w:val="ListBullet"/>
            </w:pPr>
            <w:r w:rsidRPr="00975E62">
              <w:t>all types of comparators</w:t>
            </w:r>
          </w:p>
          <w:p w:rsidR="00000000" w:rsidRPr="00975E62" w:rsidP="00975E62">
            <w:pPr>
              <w:pStyle w:val="ListBullet"/>
            </w:pPr>
            <w:r w:rsidRPr="00975E62">
              <w:t>jigs and fixtures</w:t>
            </w:r>
          </w:p>
          <w:p w:rsidR="00000000" w:rsidRPr="00975E62" w:rsidP="00975E62">
            <w:pPr>
              <w:pStyle w:val="ListBullet"/>
            </w:pPr>
            <w:r w:rsidRPr="00975E62">
              <w:t xml:space="preserve">templates and patterns </w:t>
            </w:r>
          </w:p>
          <w:p w:rsidR="00000000" w:rsidP="00975E62">
            <w:pPr>
              <w:pStyle w:val="BodyText"/>
              <w:rPr>
                <w:lang w:val="en-NZ"/>
              </w:rPr>
            </w:pPr>
          </w:p>
        </w:tc>
      </w:tr>
      <w:tr w:rsidTr="00975E6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E62">
            <w:pPr>
              <w:pStyle w:val="BodyText"/>
              <w:rPr>
                <w:lang w:val="en-NZ"/>
              </w:rPr>
            </w:pPr>
            <w:r w:rsidRPr="00975E62">
              <w:rPr>
                <w:rStyle w:val="SpecialBold"/>
              </w:rPr>
              <w:t>Recommissioned includes the following:</w:t>
            </w:r>
            <w:r w:rsidRPr="00975E62">
              <w:t xml:space="preserve"> </w:t>
            </w:r>
          </w:p>
        </w:tc>
        <w:tc>
          <w:tcPr>
            <w:tcW w:w="6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E62" w:rsidP="00975E62">
            <w:pPr>
              <w:pStyle w:val="ListBullet"/>
            </w:pPr>
            <w:r w:rsidRPr="00975E62">
              <w:t>sealing, tagging, identification or storage in accordance with SOPs</w:t>
            </w:r>
          </w:p>
          <w:p w:rsidR="00000000" w:rsidRPr="00975E62" w:rsidP="00975E62">
            <w:pPr>
              <w:pStyle w:val="BodyText"/>
            </w:pPr>
          </w:p>
        </w:tc>
      </w:tr>
    </w:tbl>
    <w:p w:rsidR="00000000" w:rsidRPr="00975E62" w:rsidP="00975E62">
      <w:pPr>
        <w:pStyle w:val="BodyText"/>
      </w:pPr>
    </w:p>
    <w:p w:rsidR="00000000" w:rsidRPr="00975E62" w:rsidP="00975E62">
      <w:pPr>
        <w:pStyle w:val="AllowPageBreak"/>
      </w:pPr>
    </w:p>
    <w:p w:rsidR="00000000" w:rsidRPr="00975E62" w:rsidP="00975E62">
      <w:pPr>
        <w:pStyle w:val="Heading1"/>
      </w:pPr>
      <w:bookmarkStart w:id="8" w:name="O_948350"/>
      <w:bookmarkEnd w:id="8"/>
      <w:r w:rsidRPr="00975E62">
        <w:t>Unit Mapping Information</w:t>
      </w:r>
    </w:p>
    <w:p w:rsidR="00000000" w:rsidRPr="00975E62" w:rsidP="006C5C64">
      <w:pPr>
        <w:pStyle w:val="BodyText"/>
      </w:pPr>
      <w:r w:rsidRPr="00975E62">
        <w:t xml:space="preserve">Release 1. Supersedes and is equivalent to MEM12005B Calibrate measuring equipment </w:t>
      </w:r>
    </w:p>
    <w:p w:rsidR="00000000" w:rsidRPr="00975E62" w:rsidP="00975E62">
      <w:pPr>
        <w:pStyle w:val="Heading1"/>
      </w:pPr>
      <w:bookmarkStart w:id="9" w:name="O_948343"/>
      <w:bookmarkEnd w:id="9"/>
      <w:r w:rsidRPr="00975E62">
        <w:t>Links</w:t>
      </w:r>
    </w:p>
    <w:p w:rsidR="00000000" w:rsidRPr="00975E62" w:rsidP="006C5C64">
      <w:pPr>
        <w:pStyle w:val="BodyText"/>
      </w:pPr>
      <w:r w:rsidRPr="00975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4C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75E62" w:rsidP="00975E62"/>
    <w:sectPr w:rsidSect="00975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62" w:rsidRPr="006C5C64" w:rsidP="006C5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64" w:rsidP="00975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C64" w:rsidP="00975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5C64" w:rsidP="00975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E62" w:rsidRPr="006C5C64" w:rsidP="006C5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64" w:rsidRPr="002D2AF8" w:rsidP="00975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C5C64" w:rsidP="00975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49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C3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E62"/>
  </w:style>
  <w:style w:type="character" w:customStyle="1" w:styleId="Heading1Char">
    <w:name w:val="Heading 1 Char"/>
    <w:basedOn w:val="DefaultParagraphFont"/>
    <w:link w:val="Heading1"/>
    <w:rsid w:val="00975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E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E62"/>
    <w:rPr>
      <w:b/>
      <w:spacing w:val="0"/>
    </w:rPr>
  </w:style>
  <w:style w:type="paragraph" w:customStyle="1" w:styleId="SuperHeading">
    <w:name w:val="SuperHeading"/>
    <w:basedOn w:val="Normal"/>
    <w:rsid w:val="00975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E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E62"/>
    <w:rPr>
      <w:i/>
    </w:rPr>
  </w:style>
  <w:style w:type="paragraph" w:styleId="Caption">
    <w:name w:val="caption"/>
    <w:basedOn w:val="BodyText"/>
    <w:next w:val="Normal"/>
    <w:qFormat/>
    <w:rsid w:val="00975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E62"/>
  </w:style>
  <w:style w:type="paragraph" w:styleId="TableofFigures">
    <w:name w:val="table of figures"/>
    <w:basedOn w:val="Normal"/>
    <w:next w:val="Normal"/>
    <w:semiHidden/>
    <w:rsid w:val="00975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E62"/>
    <w:rPr>
      <w:rFonts w:ascii="Wingdings" w:hAnsi="Wingdings"/>
    </w:rPr>
  </w:style>
  <w:style w:type="paragraph" w:customStyle="1" w:styleId="TableHeading">
    <w:name w:val="Table Heading"/>
    <w:basedOn w:val="HeadingBase"/>
    <w:rsid w:val="00975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E62"/>
    <w:rPr>
      <w:color w:val="0033CC"/>
      <w:u w:val="none"/>
    </w:rPr>
  </w:style>
  <w:style w:type="paragraph" w:customStyle="1" w:styleId="BodyTextRight">
    <w:name w:val="Body Text Right"/>
    <w:basedOn w:val="BodyText"/>
    <w:rsid w:val="00975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E62"/>
    <w:rPr>
      <w:sz w:val="32"/>
    </w:rPr>
  </w:style>
  <w:style w:type="paragraph" w:customStyle="1" w:styleId="HeadingProcedure">
    <w:name w:val="Heading Procedure"/>
    <w:basedOn w:val="HeadingBase"/>
    <w:next w:val="Normal"/>
    <w:rsid w:val="00975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E62"/>
    <w:pPr>
      <w:spacing w:before="60" w:after="60"/>
    </w:pPr>
  </w:style>
  <w:style w:type="paragraph" w:styleId="ListContinue">
    <w:name w:val="List Continue"/>
    <w:basedOn w:val="List"/>
    <w:rsid w:val="00975E62"/>
    <w:pPr>
      <w:ind w:firstLine="0"/>
    </w:pPr>
  </w:style>
  <w:style w:type="paragraph" w:customStyle="1" w:styleId="ListNote">
    <w:name w:val="List Note"/>
    <w:basedOn w:val="List"/>
    <w:rsid w:val="00975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E62"/>
    <w:rPr>
      <w:rFonts w:ascii="Courier New" w:hAnsi="Courier New"/>
    </w:rPr>
  </w:style>
  <w:style w:type="paragraph" w:customStyle="1" w:styleId="NoteBullet">
    <w:name w:val="Note Bullet"/>
    <w:basedOn w:val="Note"/>
    <w:rsid w:val="00975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E62"/>
    <w:rPr>
      <w:b/>
      <w:smallCaps/>
    </w:rPr>
  </w:style>
  <w:style w:type="paragraph" w:customStyle="1" w:styleId="TableListNumber">
    <w:name w:val="Table List Number"/>
    <w:basedOn w:val="ListNumber"/>
    <w:rsid w:val="00975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E62"/>
    <w:pPr>
      <w:numPr>
        <w:numId w:val="8"/>
      </w:numPr>
    </w:pPr>
  </w:style>
  <w:style w:type="paragraph" w:customStyle="1" w:styleId="ListAlpha2">
    <w:name w:val="List Alpha 2"/>
    <w:basedOn w:val="List2"/>
    <w:rsid w:val="00975E62"/>
    <w:pPr>
      <w:numPr>
        <w:numId w:val="7"/>
      </w:numPr>
    </w:pPr>
  </w:style>
  <w:style w:type="paragraph" w:styleId="List2">
    <w:name w:val="List 2"/>
    <w:basedOn w:val="BodyText"/>
    <w:rsid w:val="00975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E62"/>
    <w:pPr>
      <w:numPr>
        <w:numId w:val="3"/>
      </w:numPr>
    </w:pPr>
  </w:style>
  <w:style w:type="paragraph" w:styleId="ListContinue2">
    <w:name w:val="List Continue 2"/>
    <w:basedOn w:val="List2"/>
    <w:rsid w:val="00975E62"/>
    <w:pPr>
      <w:ind w:firstLine="0"/>
    </w:pPr>
  </w:style>
  <w:style w:type="paragraph" w:styleId="ListContinue3">
    <w:name w:val="List Continue 3"/>
    <w:basedOn w:val="List3"/>
    <w:rsid w:val="00975E62"/>
    <w:pPr>
      <w:ind w:left="1021" w:firstLine="0"/>
    </w:pPr>
  </w:style>
  <w:style w:type="paragraph" w:styleId="ListContinue4">
    <w:name w:val="List Continue 4"/>
    <w:basedOn w:val="List4"/>
    <w:rsid w:val="00975E62"/>
    <w:pPr>
      <w:ind w:firstLine="0"/>
    </w:pPr>
  </w:style>
  <w:style w:type="paragraph" w:styleId="ListContinue5">
    <w:name w:val="List Continue 5"/>
    <w:basedOn w:val="List5"/>
    <w:rsid w:val="00975E62"/>
    <w:pPr>
      <w:ind w:firstLine="0"/>
    </w:pPr>
  </w:style>
  <w:style w:type="paragraph" w:styleId="ListNumber3">
    <w:name w:val="List Number 3"/>
    <w:basedOn w:val="List3"/>
    <w:rsid w:val="00975E62"/>
    <w:pPr>
      <w:numPr>
        <w:numId w:val="4"/>
      </w:numPr>
    </w:pPr>
  </w:style>
  <w:style w:type="paragraph" w:styleId="ListNumber4">
    <w:name w:val="List Number 4"/>
    <w:basedOn w:val="List4"/>
    <w:rsid w:val="00975E62"/>
    <w:pPr>
      <w:numPr>
        <w:numId w:val="5"/>
      </w:numPr>
    </w:pPr>
  </w:style>
  <w:style w:type="paragraph" w:styleId="ListNumber5">
    <w:name w:val="List Number 5"/>
    <w:basedOn w:val="List5"/>
    <w:rsid w:val="00975E62"/>
    <w:pPr>
      <w:numPr>
        <w:numId w:val="6"/>
      </w:numPr>
    </w:pPr>
  </w:style>
  <w:style w:type="paragraph" w:styleId="BlockText">
    <w:name w:val="Block Text"/>
    <w:basedOn w:val="Normal"/>
    <w:rsid w:val="00975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E62"/>
    <w:rPr>
      <w:sz w:val="16"/>
      <w:vertAlign w:val="superscript"/>
    </w:rPr>
  </w:style>
  <w:style w:type="character" w:customStyle="1" w:styleId="Symbols">
    <w:name w:val="Symbols"/>
    <w:basedOn w:val="DefaultParagraphFont"/>
    <w:rsid w:val="00975E62"/>
    <w:rPr>
      <w:rFonts w:ascii="Symbol" w:hAnsi="Symbol"/>
    </w:rPr>
  </w:style>
  <w:style w:type="character" w:customStyle="1" w:styleId="MenuOptions">
    <w:name w:val="Menu Options"/>
    <w:basedOn w:val="DefaultParagraphFont"/>
    <w:rsid w:val="00975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E62"/>
    <w:rPr>
      <w:b/>
    </w:rPr>
  </w:style>
  <w:style w:type="character" w:customStyle="1" w:styleId="Underlined">
    <w:name w:val="Underlined"/>
    <w:basedOn w:val="DefaultParagraphFont"/>
    <w:rsid w:val="00975E62"/>
    <w:rPr>
      <w:u w:val="single"/>
    </w:rPr>
  </w:style>
  <w:style w:type="paragraph" w:customStyle="1" w:styleId="TableBodyTextRight">
    <w:name w:val="Table Body Text Right"/>
    <w:basedOn w:val="TableBodyText"/>
    <w:rsid w:val="00975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E62"/>
    <w:rPr>
      <w:sz w:val="18"/>
    </w:rPr>
  </w:style>
  <w:style w:type="paragraph" w:customStyle="1" w:styleId="BodySmallRight">
    <w:name w:val="Body Small Right"/>
    <w:basedOn w:val="BodyTextRight"/>
    <w:rsid w:val="00975E62"/>
    <w:rPr>
      <w:sz w:val="18"/>
      <w:szCs w:val="18"/>
    </w:rPr>
  </w:style>
  <w:style w:type="paragraph" w:customStyle="1" w:styleId="MarginEdition">
    <w:name w:val="Margin Edition"/>
    <w:basedOn w:val="MarginNote"/>
    <w:rsid w:val="00975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E62"/>
    <w:rPr>
      <w:sz w:val="2"/>
      <w:szCs w:val="2"/>
    </w:rPr>
  </w:style>
  <w:style w:type="character" w:customStyle="1" w:styleId="Small">
    <w:name w:val="Small"/>
    <w:basedOn w:val="DefaultParagraphFont"/>
    <w:rsid w:val="00975E62"/>
    <w:rPr>
      <w:sz w:val="16"/>
    </w:rPr>
  </w:style>
  <w:style w:type="paragraph" w:customStyle="1" w:styleId="WideTable">
    <w:name w:val="Wide Table"/>
    <w:basedOn w:val="Normal"/>
    <w:rsid w:val="00975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E62"/>
  </w:style>
  <w:style w:type="paragraph" w:styleId="Quote">
    <w:name w:val="Quote"/>
    <w:basedOn w:val="Heading1"/>
    <w:link w:val="QuoteChar"/>
    <w:qFormat/>
    <w:rsid w:val="00975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E62"/>
    <w:pPr>
      <w:pageBreakBefore/>
    </w:pPr>
  </w:style>
  <w:style w:type="paragraph" w:customStyle="1" w:styleId="Border">
    <w:name w:val="Border"/>
    <w:basedOn w:val="Normal"/>
    <w:qFormat/>
    <w:rsid w:val="00975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E62"/>
    <w:rPr>
      <w:u w:val="single"/>
    </w:rPr>
  </w:style>
  <w:style w:type="character" w:customStyle="1" w:styleId="BoldandItalics">
    <w:name w:val="Bold and Italics"/>
    <w:qFormat/>
    <w:rsid w:val="00975E62"/>
    <w:rPr>
      <w:b/>
      <w:i/>
      <w:u w:val="none"/>
    </w:rPr>
  </w:style>
  <w:style w:type="paragraph" w:styleId="BalloonText">
    <w:name w:val="Balloon Text"/>
    <w:basedOn w:val="Normal"/>
    <w:link w:val="BalloonTextChar"/>
    <w:rsid w:val="00975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E62"/>
    <w:pPr>
      <w:spacing w:before="0" w:after="0"/>
    </w:pPr>
  </w:style>
  <w:style w:type="paragraph" w:customStyle="1" w:styleId="BodyTextBold">
    <w:name w:val="Body Text Bold"/>
    <w:basedOn w:val="BodyText"/>
    <w:qFormat/>
    <w:rsid w:val="00975E62"/>
    <w:rPr>
      <w:b/>
    </w:rPr>
  </w:style>
  <w:style w:type="character" w:styleId="Hyperlink">
    <w:name w:val="Hyperlink"/>
    <w:basedOn w:val="DefaultParagraphFont"/>
    <w:uiPriority w:val="99"/>
    <w:unhideWhenUsed/>
    <w:rsid w:val="006C5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4716</Characters>
  <Application>Microsoft Office Word</Application>
  <DocSecurity>0</DocSecurity>
  <Lines>214</Lines>
  <Paragraphs>117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MEM12005 Calibrate measuring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