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9B2" w:rsidP="004B09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MEM12005 Calibrate measuring equipment</w:t>
      </w:r>
      <w:r>
        <w:fldChar w:fldCharType="end"/>
      </w:r>
    </w:p>
    <w:p w:rsidR="004B09B2" w:rsidP="004B09B2">
      <w:pPr>
        <w:pStyle w:val="Version"/>
        <w:sectPr w:rsidSect="008932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2E0" w:rsidP="008932E0">
      <w:pPr>
        <w:pStyle w:val="SuperHeading"/>
      </w:pPr>
      <w:r w:rsidRPr="008932E0">
        <w:t>MEM12005 Calibrate measuring equipment</w:t>
      </w:r>
    </w:p>
    <w:p w:rsidR="00000000" w:rsidRPr="008932E0" w:rsidP="008932E0">
      <w:pPr>
        <w:pStyle w:val="Heading1"/>
      </w:pPr>
      <w:bookmarkStart w:id="1" w:name="O_948349"/>
      <w:bookmarkEnd w:id="1"/>
      <w:r w:rsidRPr="008932E0">
        <w:t>Modification History</w:t>
      </w:r>
    </w:p>
    <w:p w:rsidR="00000000" w:rsidRPr="008932E0" w:rsidP="004B09B2">
      <w:pPr>
        <w:pStyle w:val="BodyText"/>
      </w:pPr>
      <w:r w:rsidRPr="008932E0">
        <w:t xml:space="preserve">Release 1. Supersedes and is equivalent to MEM12005B Calibrate measuring equipment </w:t>
      </w:r>
    </w:p>
    <w:p w:rsidR="00000000" w:rsidRPr="008932E0" w:rsidP="008932E0">
      <w:pPr>
        <w:pStyle w:val="Heading1"/>
      </w:pPr>
      <w:bookmarkStart w:id="2" w:name="O_948357"/>
      <w:bookmarkEnd w:id="2"/>
      <w:r w:rsidRPr="008932E0">
        <w:t>Application</w:t>
      </w:r>
    </w:p>
    <w:p w:rsidR="00000000" w:rsidRPr="008932E0" w:rsidP="004B09B2">
      <w:pPr>
        <w:pStyle w:val="BodyText"/>
      </w:pPr>
      <w:r w:rsidRPr="008932E0">
        <w:t>This unit of competency defines the skills and knowledge required to check measuring equipment for correct operation and v</w:t>
      </w:r>
      <w:r w:rsidRPr="008932E0">
        <w:t>alidate/calibrate precision measuring equipment in accordance with predetermined procedures.</w:t>
      </w:r>
    </w:p>
    <w:p w:rsidR="00000000" w:rsidRPr="008932E0" w:rsidP="004B09B2">
      <w:pPr>
        <w:pStyle w:val="BodyText"/>
      </w:pPr>
      <w:r w:rsidRPr="008932E0">
        <w:t>It applies to the calibration skills used in the setting, adjustment, validation or verification of precision mechanical and/or electrical/electronic measuring in</w:t>
      </w:r>
      <w:r w:rsidRPr="008932E0">
        <w:t xml:space="preserve">struments using reference standards. This involves the use of electronic setting equipment and the selection or determination of an appropriate external standard. </w:t>
      </w:r>
    </w:p>
    <w:p w:rsidR="00000000" w:rsidRPr="008932E0" w:rsidP="004B09B2">
      <w:pPr>
        <w:pStyle w:val="BodyText"/>
      </w:pPr>
      <w:r w:rsidRPr="008932E0">
        <w:t>Where interpretation of technical drawings is required unit MEM09002 Interpret technical dr</w:t>
      </w:r>
      <w:r w:rsidRPr="008932E0">
        <w:t>awing should also be selected.</w:t>
      </w:r>
    </w:p>
    <w:p w:rsidR="00000000" w:rsidRPr="008932E0" w:rsidP="004B09B2">
      <w:pPr>
        <w:pStyle w:val="BodyText"/>
      </w:pPr>
      <w:r w:rsidRPr="008932E0">
        <w:t>This unit is not meant to apply to simple zeroing, external adjustment or manual adjustment for size range, e.g. micrometres. These skills are covered by units:</w:t>
      </w:r>
    </w:p>
    <w:p w:rsidR="00000000" w:rsidRPr="008932E0" w:rsidP="008932E0">
      <w:pPr>
        <w:pStyle w:val="ListBullet"/>
      </w:pPr>
      <w:r w:rsidRPr="008932E0">
        <w:t>MEM12023 Perform engineering measurements</w:t>
      </w:r>
    </w:p>
    <w:p w:rsidR="00000000" w:rsidRPr="008932E0" w:rsidP="008932E0">
      <w:pPr>
        <w:pStyle w:val="ListBullet"/>
      </w:pPr>
      <w:r w:rsidRPr="008932E0">
        <w:t>MEM12003 Perform pre</w:t>
      </w:r>
      <w:r w:rsidRPr="008932E0">
        <w:t>cision mechanical measurement</w:t>
      </w:r>
    </w:p>
    <w:p w:rsidR="00000000" w:rsidRPr="008932E0" w:rsidP="008932E0">
      <w:pPr>
        <w:pStyle w:val="ListBullet"/>
      </w:pPr>
      <w:r w:rsidRPr="008932E0">
        <w:t>MEM12004 Perform precision electrical/electronic measurement.</w:t>
      </w:r>
    </w:p>
    <w:p w:rsidR="00000000" w:rsidRPr="008932E0" w:rsidP="008932E0">
      <w:pPr>
        <w:pStyle w:val="BodyText"/>
      </w:pPr>
    </w:p>
    <w:p w:rsidR="00000000" w:rsidRPr="008932E0" w:rsidP="004B09B2">
      <w:pPr>
        <w:pStyle w:val="BodyText"/>
      </w:pPr>
      <w:r w:rsidRPr="008932E0">
        <w:t>There may be occasions when both pathways units MEM12003 Perform precision mechanical measurement and MEM12002 Perform electrical/electronic measurement will be re</w:t>
      </w:r>
      <w:r w:rsidRPr="008932E0">
        <w:t xml:space="preserve">quired. </w:t>
      </w:r>
    </w:p>
    <w:p w:rsidR="00000000" w:rsidRPr="008932E0" w:rsidP="004B09B2">
      <w:pPr>
        <w:pStyle w:val="BodyText"/>
      </w:pPr>
      <w:r w:rsidRPr="008932E0">
        <w:t>Where additional electrical/electronic measurement skills are required unit MEM12004 Perform precision electrical/electronic measurement should also be selected.</w:t>
      </w:r>
    </w:p>
    <w:p w:rsidR="00000000" w:rsidRPr="008932E0" w:rsidP="004B09B2">
      <w:pPr>
        <w:pStyle w:val="BodyText"/>
      </w:pPr>
      <w:r w:rsidRPr="008932E0">
        <w:t xml:space="preserve">Competence in this unit does not require the level of skill that applies to calibration as defined in ISO 9000 and/or carried out by personnel accredited under ISO/IEC 17025/NATA certification or similar. Unit MEM15010 Perform laboratory procedures should </w:t>
      </w:r>
      <w:r w:rsidRPr="008932E0">
        <w:t>be considered for this level of calibration.</w:t>
      </w:r>
    </w:p>
    <w:p w:rsidR="00000000" w:rsidRPr="008932E0" w:rsidP="004B09B2">
      <w:pPr>
        <w:pStyle w:val="BodyText"/>
      </w:pPr>
      <w:r w:rsidRPr="008932E0">
        <w:t>Where reference standards only are to be verified under laboratory conditions unit MEM15022 Verify reference standards should also be selected.</w:t>
      </w:r>
    </w:p>
    <w:p w:rsidR="00000000" w:rsidRPr="008932E0" w:rsidP="004B09B2">
      <w:pPr>
        <w:pStyle w:val="BodyText"/>
      </w:pPr>
      <w:r w:rsidRPr="008932E0">
        <w:t>Where the selection and use of hand tools is required unit MEM180</w:t>
      </w:r>
      <w:r w:rsidRPr="008932E0">
        <w:t>01 Use hand tools should also be selected.</w:t>
      </w:r>
    </w:p>
    <w:p w:rsidR="00000000" w:rsidRPr="008932E0" w:rsidP="004B09B2">
      <w:pPr>
        <w:pStyle w:val="BodyText"/>
      </w:pPr>
      <w:r w:rsidRPr="008932E0">
        <w:t>No licensing, legislative or certification requirements apply to this unit at the time of publication.</w:t>
      </w:r>
    </w:p>
    <w:p w:rsidR="00000000" w:rsidRPr="008932E0" w:rsidP="008932E0">
      <w:pPr>
        <w:pStyle w:val="BodyText"/>
      </w:pPr>
      <w:r w:rsidRPr="008932E0">
        <w:rPr>
          <w:rStyle w:val="SpecialBold"/>
        </w:rPr>
        <w:t>Band</w:t>
      </w:r>
      <w:r w:rsidRPr="008932E0">
        <w:t>:</w:t>
      </w:r>
      <w:r w:rsidRPr="008932E0">
        <w:tab/>
      </w:r>
      <w:r w:rsidRPr="008932E0">
        <w:rPr>
          <w:rStyle w:val="SpecialBold"/>
        </w:rPr>
        <w:t>B</w:t>
      </w:r>
    </w:p>
    <w:p w:rsidR="00000000" w:rsidRPr="008932E0" w:rsidP="008932E0">
      <w:pPr>
        <w:pStyle w:val="BodyText"/>
      </w:pPr>
      <w:r w:rsidRPr="008932E0">
        <w:rPr>
          <w:rStyle w:val="SpecialBold"/>
        </w:rPr>
        <w:t>Unit Weight</w:t>
      </w:r>
      <w:r w:rsidRPr="008932E0">
        <w:t>:</w:t>
      </w:r>
      <w:r w:rsidRPr="008932E0">
        <w:tab/>
      </w:r>
      <w:r w:rsidRPr="008932E0">
        <w:rPr>
          <w:rStyle w:val="SpecialBold"/>
        </w:rPr>
        <w:t>6</w:t>
      </w:r>
    </w:p>
    <w:p w:rsidR="00000000" w:rsidRPr="008932E0" w:rsidP="008932E0">
      <w:pPr>
        <w:pStyle w:val="AllowPageBreak"/>
      </w:pPr>
    </w:p>
    <w:p w:rsidR="00000000" w:rsidRPr="008932E0" w:rsidP="008932E0">
      <w:pPr>
        <w:pStyle w:val="Heading1"/>
      </w:pPr>
      <w:bookmarkStart w:id="3" w:name="O_948356"/>
      <w:bookmarkEnd w:id="3"/>
      <w:r w:rsidRPr="008932E0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0"/>
        <w:gridCol w:w="2349"/>
        <w:gridCol w:w="4697"/>
      </w:tblGrid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rPr>
                <w:rStyle w:val="SpecialBold"/>
              </w:rPr>
              <w:t>Path 1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MEM11011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Undertake manual handling</w:t>
            </w:r>
          </w:p>
        </w:tc>
      </w:tr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MEM12</w:t>
            </w:r>
            <w:r w:rsidRPr="008932E0">
              <w:t>003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Perform precision mechanical measurement</w:t>
            </w:r>
          </w:p>
        </w:tc>
      </w:tr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MEM12023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Perform engineering measurements</w:t>
            </w:r>
          </w:p>
        </w:tc>
      </w:tr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MEM13015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Work safely and effectively in manufacturing and engineering</w:t>
            </w:r>
          </w:p>
        </w:tc>
      </w:tr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MEM16006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Organise and communicate information</w:t>
            </w:r>
          </w:p>
        </w:tc>
      </w:tr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</w:p>
        </w:tc>
      </w:tr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rPr>
                <w:rStyle w:val="SpecialBold"/>
              </w:rPr>
              <w:t>Path 2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MEM11011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Undertake manual handling</w:t>
            </w:r>
          </w:p>
        </w:tc>
      </w:tr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MEM12002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Perform electrical/electronic measurement</w:t>
            </w:r>
          </w:p>
        </w:tc>
      </w:tr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MEM12023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Perform engineering measurements</w:t>
            </w:r>
          </w:p>
        </w:tc>
      </w:tr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MEM13015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Work safely and effectively in manufacturing and engineering</w:t>
            </w:r>
          </w:p>
        </w:tc>
      </w:tr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MEM16006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E0" w:rsidP="008932E0">
            <w:pPr>
              <w:pStyle w:val="BodyText"/>
            </w:pPr>
            <w:r w:rsidRPr="008932E0">
              <w:t>Organise and communicate information</w:t>
            </w:r>
          </w:p>
        </w:tc>
      </w:tr>
    </w:tbl>
    <w:p w:rsidR="004B09B2" w:rsidP="008932E0">
      <w:pPr>
        <w:pStyle w:val="BodyText"/>
      </w:pPr>
    </w:p>
    <w:p w:rsidR="004B09B2" w:rsidP="008932E0">
      <w:pPr>
        <w:pStyle w:val="BodyText"/>
      </w:pPr>
    </w:p>
    <w:p w:rsidR="00000000" w:rsidRPr="008932E0" w:rsidP="008932E0">
      <w:pPr>
        <w:pStyle w:val="Heading1"/>
      </w:pPr>
      <w:bookmarkStart w:id="4" w:name="O_948355"/>
      <w:bookmarkEnd w:id="4"/>
      <w:r w:rsidRPr="008932E0">
        <w:t>Competency Field</w:t>
      </w:r>
    </w:p>
    <w:p w:rsidR="00000000" w:rsidRPr="008932E0" w:rsidP="004B09B2">
      <w:pPr>
        <w:pStyle w:val="BodyText"/>
      </w:pPr>
      <w:r w:rsidRPr="008932E0">
        <w:t>Measurement</w:t>
      </w:r>
    </w:p>
    <w:p w:rsidR="00000000" w:rsidRPr="008932E0" w:rsidP="008932E0">
      <w:pPr>
        <w:pStyle w:val="Heading1"/>
      </w:pPr>
      <w:bookmarkStart w:id="5" w:name="O_948353"/>
      <w:bookmarkEnd w:id="5"/>
      <w:r w:rsidRPr="008932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9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Performance criteria describe the performance needed to demonstrate achievement of the element.</w:t>
            </w:r>
          </w:p>
        </w:tc>
      </w:tr>
      <w:tr w:rsidTr="0089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E0" w:rsidP="008932E0">
            <w:pPr>
              <w:pStyle w:val="BodyText"/>
            </w:pPr>
            <w:r w:rsidRPr="008932E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Follow standard operating procedures (SOPs)</w:t>
            </w:r>
          </w:p>
        </w:tc>
      </w:tr>
      <w:tr w:rsidTr="0089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Comply with work health and safety (WHS) requirements at all times</w:t>
            </w:r>
          </w:p>
        </w:tc>
      </w:tr>
      <w:tr w:rsidTr="0089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Use appropriate personal protective equipment (PPE) in accordance with SOPs</w:t>
            </w:r>
          </w:p>
        </w:tc>
      </w:tr>
      <w:tr w:rsidTr="0089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Identify job requirements from specifications, job sheets or work instructions</w:t>
            </w:r>
          </w:p>
        </w:tc>
      </w:tr>
      <w:tr w:rsidTr="0089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</w:p>
        </w:tc>
      </w:tr>
      <w:tr w:rsidTr="0089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E0" w:rsidP="008932E0">
            <w:pPr>
              <w:pStyle w:val="BodyText"/>
            </w:pPr>
            <w:r w:rsidRPr="008932E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rPr>
                <w:rStyle w:val="SpecialBold"/>
              </w:rPr>
              <w:t>Check equipment for correct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Check equipment for correct operation in accordance with manufacturers’</w:t>
            </w:r>
            <w:r w:rsidRPr="008932E0">
              <w:t xml:space="preserve"> specifications using appropriate tools, equipment and techniques</w:t>
            </w:r>
          </w:p>
        </w:tc>
      </w:tr>
      <w:tr w:rsidTr="0089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Carry out appropriate checks of components, leads, fasteners for wear, loose connections or other faults</w:t>
            </w:r>
          </w:p>
        </w:tc>
      </w:tr>
      <w:tr w:rsidTr="0089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</w:p>
        </w:tc>
      </w:tr>
      <w:tr w:rsidTr="0089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E0" w:rsidP="008932E0">
            <w:pPr>
              <w:pStyle w:val="BodyText"/>
            </w:pPr>
            <w:r w:rsidRPr="008932E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rPr>
                <w:rStyle w:val="SpecialBold"/>
              </w:rPr>
              <w:t>Validate/calibrate precision measuring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Assess calibration of precision measuring equipment to manufacturers</w:t>
            </w:r>
            <w:r>
              <w:t>’</w:t>
            </w:r>
            <w:r w:rsidRPr="008932E0">
              <w:t xml:space="preserve"> specifications and/or SOPs</w:t>
            </w:r>
          </w:p>
        </w:tc>
      </w:tr>
      <w:tr w:rsidTr="0089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Calibrate equipment against appropriate physical standards using correct calibration devices, equipment and techniques using predetermined procedures</w:t>
            </w:r>
          </w:p>
        </w:tc>
      </w:tr>
      <w:tr w:rsidTr="0089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E0" w:rsidP="008932E0">
            <w:pPr>
              <w:pStyle w:val="BodyText"/>
            </w:pPr>
            <w:r w:rsidRPr="008932E0">
              <w:t>Recommission equipment in accordance with SOPs</w:t>
            </w:r>
          </w:p>
        </w:tc>
      </w:tr>
    </w:tbl>
    <w:p w:rsidR="00000000" w:rsidRPr="008932E0" w:rsidP="008932E0">
      <w:pPr>
        <w:pStyle w:val="BodyText"/>
      </w:pPr>
    </w:p>
    <w:p w:rsidR="00000000" w:rsidRPr="008932E0" w:rsidP="008932E0">
      <w:pPr>
        <w:pStyle w:val="AllowPageBreak"/>
      </w:pPr>
    </w:p>
    <w:p w:rsidR="00000000" w:rsidRPr="008932E0" w:rsidP="008932E0">
      <w:pPr>
        <w:pStyle w:val="Heading1"/>
      </w:pPr>
      <w:bookmarkStart w:id="6" w:name="O_948352"/>
      <w:bookmarkEnd w:id="6"/>
      <w:r w:rsidRPr="008932E0">
        <w:t>Foundation Skills</w:t>
      </w:r>
    </w:p>
    <w:p w:rsidR="00000000" w:rsidRPr="008932E0" w:rsidP="004B09B2">
      <w:pPr>
        <w:pStyle w:val="BodyText"/>
      </w:pPr>
      <w:r w:rsidRPr="008932E0">
        <w:t>This section describes those required skills (reading, writing, oral communication and numeracy) that are essential to workplace performance in this unit of competency</w:t>
      </w:r>
      <w:r w:rsidRPr="008932E0">
        <w:t xml:space="preserve">.  </w:t>
      </w:r>
    </w:p>
    <w:p w:rsidR="00000000" w:rsidRPr="008932E0" w:rsidP="004B09B2">
      <w:pPr>
        <w:pStyle w:val="BodyText"/>
      </w:pPr>
      <w:r w:rsidRPr="008932E0">
        <w:t>Foundation skills essential to performance are explicit in the performance criteria of this unit of competency.</w:t>
      </w:r>
    </w:p>
    <w:p w:rsidR="00000000" w:rsidRPr="008932E0" w:rsidP="008932E0">
      <w:pPr>
        <w:pStyle w:val="Heading1"/>
      </w:pPr>
      <w:bookmarkStart w:id="7" w:name="O_948351"/>
      <w:bookmarkEnd w:id="7"/>
      <w:r w:rsidRPr="008932E0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528"/>
      </w:tblGrid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t>This field allows for different work environments and conditions that may affect performance. Essentia</w:t>
            </w:r>
            <w:r w:rsidRPr="008932E0">
              <w:t>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rPr>
                <w:rStyle w:val="SpecialBold"/>
              </w:rPr>
              <w:t>Physical standards include one (1) or more of the following:</w:t>
            </w:r>
            <w:r w:rsidRPr="008932E0">
              <w:t xml:space="preserve"> </w:t>
            </w:r>
          </w:p>
        </w:tc>
        <w:tc>
          <w:tcPr>
            <w:tcW w:w="6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E0" w:rsidP="008932E0">
            <w:pPr>
              <w:pStyle w:val="ListBullet"/>
            </w:pPr>
            <w:r w:rsidRPr="008932E0">
              <w:t>mass</w:t>
            </w:r>
          </w:p>
          <w:p w:rsidR="00000000" w:rsidRPr="008932E0" w:rsidP="008932E0">
            <w:pPr>
              <w:pStyle w:val="ListBullet"/>
            </w:pPr>
            <w:r w:rsidRPr="008932E0">
              <w:t>length</w:t>
            </w:r>
          </w:p>
          <w:p w:rsidR="00000000" w:rsidRPr="008932E0" w:rsidP="008932E0">
            <w:pPr>
              <w:pStyle w:val="ListBullet"/>
            </w:pPr>
            <w:r w:rsidRPr="008932E0">
              <w:t>time</w:t>
            </w:r>
          </w:p>
          <w:p w:rsidR="00000000" w:rsidRPr="008932E0" w:rsidP="008932E0">
            <w:pPr>
              <w:pStyle w:val="ListBullet"/>
            </w:pPr>
            <w:r w:rsidRPr="008932E0">
              <w:t>temperature</w:t>
            </w:r>
          </w:p>
          <w:p w:rsidR="00000000" w:rsidRPr="008932E0" w:rsidP="008932E0">
            <w:pPr>
              <w:pStyle w:val="ListBullet"/>
            </w:pPr>
            <w:r w:rsidRPr="008932E0">
              <w:t>pressure</w:t>
            </w:r>
          </w:p>
          <w:p w:rsidR="00000000" w:rsidRPr="008932E0" w:rsidP="008932E0">
            <w:pPr>
              <w:pStyle w:val="ListBullet"/>
            </w:pPr>
            <w:r w:rsidRPr="008932E0">
              <w:t>volume</w:t>
            </w:r>
          </w:p>
          <w:p w:rsidR="00000000" w:rsidRPr="008932E0" w:rsidP="008932E0">
            <w:pPr>
              <w:pStyle w:val="ListBullet"/>
            </w:pPr>
            <w:r w:rsidRPr="008932E0">
              <w:t xml:space="preserve">process characteristics </w:t>
            </w:r>
          </w:p>
          <w:p w:rsidR="00000000" w:rsidP="008932E0">
            <w:pPr>
              <w:pStyle w:val="BodyText"/>
              <w:rPr>
                <w:lang w:val="en-NZ"/>
              </w:rPr>
            </w:pPr>
          </w:p>
        </w:tc>
      </w:tr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rPr>
                <w:rStyle w:val="SpecialBold"/>
              </w:rPr>
              <w:t>Calibration devices and</w:t>
            </w:r>
            <w:r w:rsidRPr="008932E0">
              <w:t xml:space="preserve"> </w:t>
            </w:r>
            <w:r w:rsidRPr="008932E0">
              <w:rPr>
                <w:rStyle w:val="SpecialBold"/>
              </w:rPr>
              <w:t>equipment include one (1) or more of the following:</w:t>
            </w:r>
          </w:p>
        </w:tc>
        <w:tc>
          <w:tcPr>
            <w:tcW w:w="6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E0" w:rsidP="008932E0">
            <w:pPr>
              <w:pStyle w:val="ListBullet"/>
            </w:pPr>
            <w:r w:rsidRPr="008932E0">
              <w:t>micrometre</w:t>
            </w:r>
          </w:p>
          <w:p w:rsidR="00000000" w:rsidRPr="008932E0" w:rsidP="008932E0">
            <w:pPr>
              <w:pStyle w:val="ListBullet"/>
            </w:pPr>
            <w:r w:rsidRPr="008932E0">
              <w:t>vernier caliper</w:t>
            </w:r>
          </w:p>
          <w:p w:rsidR="00000000" w:rsidRPr="008932E0" w:rsidP="008932E0">
            <w:pPr>
              <w:pStyle w:val="ListBullet"/>
            </w:pPr>
            <w:r w:rsidRPr="008932E0">
              <w:t>voltmeter</w:t>
            </w:r>
          </w:p>
          <w:p w:rsidR="00000000" w:rsidRPr="008932E0" w:rsidP="008932E0">
            <w:pPr>
              <w:pStyle w:val="ListBullet"/>
            </w:pPr>
            <w:r w:rsidRPr="008932E0">
              <w:t>oscilloscope</w:t>
            </w:r>
          </w:p>
          <w:p w:rsidR="00000000" w:rsidRPr="008932E0" w:rsidP="008932E0">
            <w:pPr>
              <w:pStyle w:val="ListBullet"/>
            </w:pPr>
            <w:r w:rsidRPr="008932E0">
              <w:t>all types of comparators</w:t>
            </w:r>
          </w:p>
          <w:p w:rsidR="00000000" w:rsidRPr="008932E0" w:rsidP="008932E0">
            <w:pPr>
              <w:pStyle w:val="ListBullet"/>
            </w:pPr>
            <w:r w:rsidRPr="008932E0">
              <w:t>jigs and fixtures</w:t>
            </w:r>
          </w:p>
          <w:p w:rsidR="00000000" w:rsidRPr="008932E0" w:rsidP="008932E0">
            <w:pPr>
              <w:pStyle w:val="ListBullet"/>
            </w:pPr>
            <w:r w:rsidRPr="008932E0">
              <w:t xml:space="preserve">templates and patterns </w:t>
            </w:r>
          </w:p>
          <w:p w:rsidR="00000000" w:rsidP="008932E0">
            <w:pPr>
              <w:pStyle w:val="BodyText"/>
              <w:rPr>
                <w:lang w:val="en-NZ"/>
              </w:rPr>
            </w:pPr>
          </w:p>
        </w:tc>
      </w:tr>
      <w:tr w:rsidTr="008932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E0">
            <w:pPr>
              <w:pStyle w:val="BodyText"/>
              <w:rPr>
                <w:lang w:val="en-NZ"/>
              </w:rPr>
            </w:pPr>
            <w:r w:rsidRPr="008932E0">
              <w:rPr>
                <w:rStyle w:val="SpecialBold"/>
              </w:rPr>
              <w:t>Recommissioned includes the following:</w:t>
            </w:r>
            <w:r w:rsidRPr="008932E0">
              <w:t xml:space="preserve"> </w:t>
            </w:r>
          </w:p>
        </w:tc>
        <w:tc>
          <w:tcPr>
            <w:tcW w:w="6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E0" w:rsidP="008932E0">
            <w:pPr>
              <w:pStyle w:val="ListBullet"/>
            </w:pPr>
            <w:r w:rsidRPr="008932E0">
              <w:t>sealing, tagging, identification or storage in accordance with SOPs</w:t>
            </w:r>
          </w:p>
          <w:p w:rsidR="00000000" w:rsidRPr="008932E0" w:rsidP="008932E0">
            <w:pPr>
              <w:pStyle w:val="BodyText"/>
            </w:pPr>
          </w:p>
        </w:tc>
      </w:tr>
    </w:tbl>
    <w:p w:rsidR="00000000" w:rsidRPr="008932E0" w:rsidP="008932E0">
      <w:pPr>
        <w:pStyle w:val="BodyText"/>
      </w:pPr>
    </w:p>
    <w:p w:rsidR="00000000" w:rsidRPr="008932E0" w:rsidP="008932E0">
      <w:pPr>
        <w:pStyle w:val="AllowPageBreak"/>
      </w:pPr>
    </w:p>
    <w:p w:rsidR="00000000" w:rsidRPr="008932E0" w:rsidP="008932E0">
      <w:pPr>
        <w:pStyle w:val="Heading1"/>
      </w:pPr>
      <w:bookmarkStart w:id="8" w:name="O_948350"/>
      <w:bookmarkEnd w:id="8"/>
      <w:r w:rsidRPr="008932E0">
        <w:t>Unit Mapping Information</w:t>
      </w:r>
    </w:p>
    <w:p w:rsidR="00000000" w:rsidRPr="008932E0" w:rsidP="004B09B2">
      <w:pPr>
        <w:pStyle w:val="BodyText"/>
      </w:pPr>
      <w:r w:rsidRPr="008932E0">
        <w:t xml:space="preserve">Release 1. Supersedes and is equivalent to MEM12005B Calibrate measuring equipment </w:t>
      </w:r>
    </w:p>
    <w:p w:rsidR="00000000" w:rsidRPr="008932E0" w:rsidP="008932E0">
      <w:pPr>
        <w:pStyle w:val="Heading1"/>
      </w:pPr>
      <w:bookmarkStart w:id="9" w:name="O_948343"/>
      <w:bookmarkEnd w:id="9"/>
      <w:r w:rsidRPr="008932E0">
        <w:t>Links</w:t>
      </w:r>
    </w:p>
    <w:p w:rsidR="00000000" w:rsidRPr="008932E0" w:rsidP="004B09B2">
      <w:pPr>
        <w:pStyle w:val="BodyText"/>
      </w:pPr>
      <w:r w:rsidRPr="008932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278A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932E0" w:rsidP="004B09B2">
      <w:pPr>
        <w:pStyle w:val="BodyText"/>
        <w:sectPr w:rsidSect="008932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32E0" w:rsidP="008932E0">
      <w:pPr>
        <w:pStyle w:val="SuperHeading"/>
      </w:pPr>
      <w:r w:rsidRPr="008932E0">
        <w:t>Assessment Requirements for MEM12005 Calibrate measuring equipment</w:t>
      </w:r>
    </w:p>
    <w:p w:rsidR="00000000" w:rsidRPr="008932E0" w:rsidP="008932E0">
      <w:pPr>
        <w:pStyle w:val="Heading1"/>
      </w:pPr>
      <w:bookmarkStart w:id="10" w:name="O_948345"/>
      <w:bookmarkEnd w:id="10"/>
      <w:r w:rsidRPr="008932E0">
        <w:t>Modification History</w:t>
      </w:r>
    </w:p>
    <w:p w:rsidR="00000000" w:rsidRPr="008932E0" w:rsidP="004B09B2">
      <w:pPr>
        <w:pStyle w:val="BodyText"/>
      </w:pPr>
      <w:r w:rsidRPr="008932E0">
        <w:t xml:space="preserve">Release 1. Supersedes and is equivalent to MEM12005B Calibrate measuring equipment </w:t>
      </w:r>
    </w:p>
    <w:p w:rsidR="00000000" w:rsidRPr="008932E0" w:rsidP="008932E0">
      <w:pPr>
        <w:pStyle w:val="Heading1"/>
      </w:pPr>
      <w:bookmarkStart w:id="11" w:name="O_948348"/>
      <w:bookmarkEnd w:id="11"/>
      <w:r w:rsidRPr="008932E0">
        <w:t>Performance Evidence</w:t>
      </w:r>
    </w:p>
    <w:p w:rsidR="00000000" w:rsidRPr="008932E0" w:rsidP="004B09B2">
      <w:pPr>
        <w:pStyle w:val="BodyText"/>
      </w:pPr>
      <w:r w:rsidRPr="008932E0">
        <w:t>Evidence required to demonstrate competence in this unit must be relevant to and satisfy the requirements of the elements and performance criteria on at least two (2) occasions and include:</w:t>
      </w:r>
    </w:p>
    <w:p w:rsidR="00000000" w:rsidRPr="008932E0" w:rsidP="008932E0">
      <w:pPr>
        <w:pStyle w:val="ListBullet"/>
      </w:pPr>
      <w:r w:rsidRPr="008932E0">
        <w:t>following work instructions, standard operat</w:t>
      </w:r>
      <w:r w:rsidRPr="008932E0">
        <w:t xml:space="preserve">ing procedures (SOPs) and safe work practices </w:t>
      </w:r>
    </w:p>
    <w:p w:rsidR="00000000" w:rsidRPr="008932E0" w:rsidP="008932E0">
      <w:pPr>
        <w:pStyle w:val="ListBullet"/>
      </w:pPr>
      <w:r w:rsidRPr="008932E0">
        <w:t xml:space="preserve">checking measuring equipment for correct operation and faults using appropriate tools and equipment </w:t>
      </w:r>
    </w:p>
    <w:p w:rsidR="00000000" w:rsidRPr="008932E0" w:rsidP="008932E0">
      <w:pPr>
        <w:pStyle w:val="ListBullet"/>
      </w:pPr>
      <w:r w:rsidRPr="008932E0">
        <w:t xml:space="preserve">selecting appropriate calibration devices and equipment to manufacturers’ specification and procedures </w:t>
      </w:r>
    </w:p>
    <w:p w:rsidR="00000000" w:rsidRPr="008932E0" w:rsidP="008932E0">
      <w:pPr>
        <w:pStyle w:val="ListBullet"/>
      </w:pPr>
      <w:r w:rsidRPr="008932E0">
        <w:t xml:space="preserve">calibrating equipment to appropriate physical and reference standards for conformance to specifications and in accordance with manufacturers’ manuals and SOPs  </w:t>
      </w:r>
    </w:p>
    <w:p w:rsidR="00000000" w:rsidRPr="008932E0" w:rsidP="008932E0">
      <w:pPr>
        <w:pStyle w:val="ListBullet"/>
      </w:pPr>
      <w:r w:rsidRPr="008932E0">
        <w:t>recommissioning equipment in accordance SOPs.</w:t>
      </w:r>
    </w:p>
    <w:p w:rsidR="00000000" w:rsidRPr="008932E0" w:rsidP="008932E0">
      <w:pPr>
        <w:pStyle w:val="AllowPageBreak"/>
      </w:pPr>
    </w:p>
    <w:p w:rsidR="00000000" w:rsidRPr="008932E0" w:rsidP="008932E0">
      <w:pPr>
        <w:pStyle w:val="Heading1"/>
      </w:pPr>
      <w:bookmarkStart w:id="12" w:name="O_948347"/>
      <w:bookmarkEnd w:id="12"/>
      <w:r w:rsidRPr="008932E0">
        <w:t>Knowledge Evidence</w:t>
      </w:r>
    </w:p>
    <w:p w:rsidR="00000000" w:rsidRPr="008932E0" w:rsidP="004B09B2">
      <w:pPr>
        <w:pStyle w:val="BodyText"/>
      </w:pPr>
      <w:r w:rsidRPr="008932E0">
        <w:t>Evidence requ</w:t>
      </w:r>
      <w:r w:rsidRPr="008932E0">
        <w:t>ired to demonstrate the required knowledge for this unit must be relevant to and satisfy the requirements of the elements and performance criteria and include knowledge of:</w:t>
      </w:r>
    </w:p>
    <w:p w:rsidR="00000000" w:rsidRPr="008932E0" w:rsidP="008932E0">
      <w:pPr>
        <w:pStyle w:val="ListBullet"/>
      </w:pPr>
      <w:r w:rsidRPr="008932E0">
        <w:t>safe work practices and procedures and use of personal protective equipment (PPE)</w:t>
      </w:r>
    </w:p>
    <w:p w:rsidR="00000000" w:rsidRPr="008932E0" w:rsidP="008932E0">
      <w:pPr>
        <w:pStyle w:val="ListBullet"/>
      </w:pPr>
      <w:r w:rsidRPr="008932E0">
        <w:t xml:space="preserve">measuring equipment specifications, operation, wearing parts, connections and components </w:t>
      </w:r>
    </w:p>
    <w:p w:rsidR="00000000" w:rsidRPr="008932E0" w:rsidP="008932E0">
      <w:pPr>
        <w:pStyle w:val="ListBullet"/>
      </w:pPr>
      <w:r w:rsidRPr="008932E0">
        <w:t xml:space="preserve">checks that are to be made of the measuring equipment and the tools and equipment to be used when checking the measuring equipment </w:t>
      </w:r>
    </w:p>
    <w:p w:rsidR="00000000" w:rsidRPr="008932E0" w:rsidP="008932E0">
      <w:pPr>
        <w:pStyle w:val="ListBullet"/>
      </w:pPr>
      <w:r w:rsidRPr="008932E0">
        <w:t xml:space="preserve">common fault(s) that may be found </w:t>
      </w:r>
      <w:r w:rsidRPr="008932E0">
        <w:t xml:space="preserve">in the measuring equipment </w:t>
      </w:r>
    </w:p>
    <w:p w:rsidR="00000000" w:rsidRPr="008932E0" w:rsidP="008932E0">
      <w:pPr>
        <w:pStyle w:val="ListBullet"/>
      </w:pPr>
      <w:r w:rsidRPr="008932E0">
        <w:t xml:space="preserve">effects of faults on the performance/accuracy of the measuring equipment </w:t>
      </w:r>
    </w:p>
    <w:p w:rsidR="00000000" w:rsidRPr="008932E0" w:rsidP="008932E0">
      <w:pPr>
        <w:pStyle w:val="ListBullet"/>
      </w:pPr>
      <w:r w:rsidRPr="008932E0">
        <w:t xml:space="preserve">relevant standards, legislative or regulatory requirements applicable to the measuring equipment and/or its calibration </w:t>
      </w:r>
    </w:p>
    <w:p w:rsidR="00000000" w:rsidRPr="008932E0" w:rsidP="008932E0">
      <w:pPr>
        <w:pStyle w:val="ListBullet"/>
      </w:pPr>
      <w:r w:rsidRPr="008932E0">
        <w:t>SOPs for calibrating and commissi</w:t>
      </w:r>
      <w:r w:rsidRPr="008932E0">
        <w:t>oning the measuring equipment and the tools and equipment required to do so</w:t>
      </w:r>
    </w:p>
    <w:p w:rsidR="00000000" w:rsidRPr="008932E0" w:rsidP="008932E0">
      <w:pPr>
        <w:pStyle w:val="ListBullet"/>
      </w:pPr>
      <w:r w:rsidRPr="008932E0">
        <w:t>calibration records to be kept/maintained in accordance with SOPs.</w:t>
      </w:r>
    </w:p>
    <w:p w:rsidR="00000000" w:rsidRPr="008932E0" w:rsidP="008932E0">
      <w:pPr>
        <w:pStyle w:val="AllowPageBreak"/>
      </w:pPr>
    </w:p>
    <w:p w:rsidR="00000000" w:rsidRPr="008932E0" w:rsidP="008932E0">
      <w:pPr>
        <w:pStyle w:val="Heading1"/>
      </w:pPr>
      <w:bookmarkStart w:id="13" w:name="O_948346"/>
      <w:bookmarkEnd w:id="13"/>
      <w:r w:rsidRPr="008932E0">
        <w:t>Assessment Conditions</w:t>
      </w:r>
    </w:p>
    <w:p w:rsidR="00000000" w:rsidRPr="008932E0" w:rsidP="008932E0">
      <w:pPr>
        <w:pStyle w:val="ListBullet"/>
      </w:pPr>
      <w:r w:rsidRPr="008932E0">
        <w:t>Assessors must:</w:t>
      </w:r>
    </w:p>
    <w:p w:rsidR="00000000" w:rsidRPr="008932E0" w:rsidP="008932E0">
      <w:pPr>
        <w:pStyle w:val="ListBullet2"/>
      </w:pPr>
      <w:r w:rsidRPr="008932E0">
        <w:t>have vocational competency in calibrating measuring equi</w:t>
      </w:r>
      <w:r w:rsidRPr="008932E0">
        <w:t>pment at least to the level being assessed with relevant industry knowledge and experience</w:t>
      </w:r>
    </w:p>
    <w:p w:rsidR="00000000" w:rsidRPr="008932E0" w:rsidP="008932E0">
      <w:pPr>
        <w:pStyle w:val="ListBullet2"/>
      </w:pPr>
      <w:r w:rsidRPr="008932E0">
        <w:t xml:space="preserve">satisfy the assessor requirements in the </w:t>
      </w:r>
      <w:r w:rsidRPr="008932E0">
        <w:rPr>
          <w:rStyle w:val="Emphasis"/>
        </w:rPr>
        <w:t xml:space="preserve">Standards for Registered Training Organisations 2015 </w:t>
      </w:r>
      <w:r w:rsidRPr="008932E0">
        <w:t>or its replacement</w:t>
      </w:r>
      <w:r w:rsidRPr="008932E0">
        <w:rPr>
          <w:rStyle w:val="Emphasis"/>
        </w:rPr>
        <w:t xml:space="preserve"> </w:t>
      </w:r>
      <w:r w:rsidRPr="008932E0">
        <w:t xml:space="preserve">and comply with the </w:t>
      </w:r>
      <w:r w:rsidRPr="008932E0">
        <w:rPr>
          <w:rStyle w:val="Emphasis"/>
        </w:rPr>
        <w:t xml:space="preserve">National Vocational Education and Training Regulator Act 2011, </w:t>
      </w:r>
      <w:r w:rsidRPr="008932E0">
        <w:t>its replacement</w:t>
      </w:r>
      <w:r w:rsidRPr="008932E0">
        <w:rPr>
          <w:rStyle w:val="Emphasis"/>
        </w:rPr>
        <w:t xml:space="preserve"> </w:t>
      </w:r>
      <w:r w:rsidRPr="008932E0">
        <w:t>or equivalent legislation covering VET regulation in a non-referring state/territory as the case requires</w:t>
      </w:r>
    </w:p>
    <w:p w:rsidR="00000000" w:rsidRPr="008932E0" w:rsidP="008932E0">
      <w:pPr>
        <w:pStyle w:val="ListBullet"/>
      </w:pPr>
      <w:r w:rsidRPr="008932E0">
        <w:t>Where possible assessment must occur in operational workplace situatio</w:t>
      </w:r>
      <w:r w:rsidRPr="008932E0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8932E0">
        <w:t>ts of workplace performance, including environment, task skills, task management skills, contingency management skills and job role environment skills</w:t>
      </w:r>
    </w:p>
    <w:p w:rsidR="00000000" w:rsidRPr="008932E0" w:rsidP="008932E0">
      <w:pPr>
        <w:pStyle w:val="ListBullet"/>
      </w:pPr>
      <w:r w:rsidRPr="008932E0">
        <w:t>Conditions for assessment must include access to all tools, equipment, materials and documentation requir</w:t>
      </w:r>
      <w:r w:rsidRPr="008932E0">
        <w:t>ed, including relevant workplace procedures, product and manufacturing specifications</w:t>
      </w:r>
    </w:p>
    <w:p w:rsidR="00000000" w:rsidRPr="008932E0" w:rsidP="008932E0">
      <w:pPr>
        <w:pStyle w:val="ListBullet"/>
      </w:pPr>
      <w:r w:rsidRPr="008932E0">
        <w:t>Assessment processes and techniques must be appropriate to the language, literacy and numeracy requirements of the work being performed and the needs of the candidate.</w:t>
      </w:r>
    </w:p>
    <w:p w:rsidR="00000000" w:rsidRPr="008932E0" w:rsidP="008932E0">
      <w:pPr>
        <w:pStyle w:val="AllowPageBreak"/>
      </w:pPr>
    </w:p>
    <w:p w:rsidR="00000000" w:rsidRPr="008932E0" w:rsidP="008932E0">
      <w:pPr>
        <w:pStyle w:val="Heading1"/>
      </w:pPr>
      <w:bookmarkStart w:id="14" w:name="O_948344"/>
      <w:bookmarkEnd w:id="14"/>
      <w:r w:rsidRPr="008932E0">
        <w:t>Links</w:t>
      </w:r>
    </w:p>
    <w:p w:rsidR="00000000" w:rsidRPr="008932E0" w:rsidP="004B09B2">
      <w:pPr>
        <w:pStyle w:val="BodyText"/>
      </w:pPr>
      <w:r w:rsidRPr="008932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278A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932E0" w:rsidP="008932E0"/>
    <w:sectPr w:rsidSect="008932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E0" w:rsidRPr="004B09B2" w:rsidP="004B09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B2" w:rsidP="00893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B09B2" w:rsidP="00893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B09B2" w:rsidP="008932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E0" w:rsidP="00893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09B2">
      <w:t>Approved</w:t>
    </w:r>
    <w:r w:rsidR="004B09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09B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09B2">
      <w:rPr>
        <w:noProof/>
      </w:rPr>
      <w:t>5</w:t>
    </w:r>
    <w:r>
      <w:rPr>
        <w:noProof/>
      </w:rPr>
      <w:fldChar w:fldCharType="end"/>
    </w:r>
  </w:p>
  <w:p w:rsidR="008932E0" w:rsidP="00893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09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09B2">
      <w:t>Manufacturing Industry Skills Alliance</w:t>
    </w:r>
    <w:r w:rsidR="004B09B2">
      <w:fldChar w:fldCharType="end"/>
    </w:r>
  </w:p>
  <w:p w:rsidR="008932E0" w:rsidP="008932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2E0" w:rsidRPr="004B09B2" w:rsidP="004B09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B2" w:rsidRPr="002D2AF8" w:rsidP="00893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MEM12005 Calibrate measuring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09B2" w:rsidP="008932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E0" w:rsidRPr="002D2AF8" w:rsidP="00893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09B2">
      <w:t>MEM12005 Calibrate measuring equipment</w:t>
    </w:r>
    <w:r w:rsidR="004B09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09B2">
      <w:rPr>
        <w:noProof/>
      </w:rPr>
      <w:t>2 March 2025</w:t>
    </w:r>
    <w:r>
      <w:fldChar w:fldCharType="end"/>
    </w:r>
  </w:p>
  <w:p w:rsidR="008932E0" w:rsidP="008932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8AEE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B8F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DC3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2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2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2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2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2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2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2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2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2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2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2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2E0"/>
  </w:style>
  <w:style w:type="character" w:customStyle="1" w:styleId="Heading1Char">
    <w:name w:val="Heading 1 Char"/>
    <w:basedOn w:val="DefaultParagraphFont"/>
    <w:link w:val="Heading1"/>
    <w:rsid w:val="008932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2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2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2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2E0"/>
    <w:rPr>
      <w:b/>
      <w:spacing w:val="0"/>
    </w:rPr>
  </w:style>
  <w:style w:type="paragraph" w:styleId="ListBullet2">
    <w:name w:val="List Bullet 2"/>
    <w:basedOn w:val="List2"/>
    <w:rsid w:val="008932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32E0"/>
    <w:rPr>
      <w:i/>
    </w:rPr>
  </w:style>
  <w:style w:type="paragraph" w:customStyle="1" w:styleId="SuperHeading">
    <w:name w:val="SuperHeading"/>
    <w:basedOn w:val="Normal"/>
    <w:rsid w:val="008932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2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2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2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2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2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2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2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2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2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2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2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2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2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2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2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2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2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2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2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2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2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2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2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2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2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2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2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2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2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32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2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2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2E0"/>
  </w:style>
  <w:style w:type="paragraph" w:styleId="TableofFigures">
    <w:name w:val="table of figures"/>
    <w:basedOn w:val="Normal"/>
    <w:next w:val="Normal"/>
    <w:semiHidden/>
    <w:rsid w:val="008932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2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32E0"/>
    <w:rPr>
      <w:rFonts w:ascii="Wingdings" w:hAnsi="Wingdings"/>
    </w:rPr>
  </w:style>
  <w:style w:type="paragraph" w:customStyle="1" w:styleId="TableHeading">
    <w:name w:val="Table Heading"/>
    <w:basedOn w:val="HeadingBase"/>
    <w:rsid w:val="008932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2E0"/>
    <w:rPr>
      <w:color w:val="0033CC"/>
      <w:u w:val="none"/>
    </w:rPr>
  </w:style>
  <w:style w:type="paragraph" w:customStyle="1" w:styleId="BodyTextRight">
    <w:name w:val="Body Text Right"/>
    <w:basedOn w:val="BodyText"/>
    <w:rsid w:val="008932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2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2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2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2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2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2E0"/>
    <w:rPr>
      <w:sz w:val="32"/>
    </w:rPr>
  </w:style>
  <w:style w:type="paragraph" w:customStyle="1" w:styleId="HeadingProcedure">
    <w:name w:val="Heading Procedure"/>
    <w:basedOn w:val="HeadingBase"/>
    <w:next w:val="Normal"/>
    <w:rsid w:val="008932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2E0"/>
    <w:pPr>
      <w:spacing w:before="60" w:after="60"/>
    </w:pPr>
  </w:style>
  <w:style w:type="paragraph" w:styleId="ListContinue">
    <w:name w:val="List Continue"/>
    <w:basedOn w:val="List"/>
    <w:rsid w:val="008932E0"/>
    <w:pPr>
      <w:ind w:firstLine="0"/>
    </w:pPr>
  </w:style>
  <w:style w:type="paragraph" w:customStyle="1" w:styleId="ListNote">
    <w:name w:val="List Note"/>
    <w:basedOn w:val="List"/>
    <w:rsid w:val="008932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2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2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2E0"/>
    <w:rPr>
      <w:rFonts w:ascii="Courier New" w:hAnsi="Courier New"/>
    </w:rPr>
  </w:style>
  <w:style w:type="paragraph" w:customStyle="1" w:styleId="NoteBullet">
    <w:name w:val="Note Bullet"/>
    <w:basedOn w:val="Note"/>
    <w:rsid w:val="008932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2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2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2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2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32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2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2E0"/>
    <w:rPr>
      <w:b/>
      <w:smallCaps/>
    </w:rPr>
  </w:style>
  <w:style w:type="paragraph" w:customStyle="1" w:styleId="TableListNumber">
    <w:name w:val="Table List Number"/>
    <w:basedOn w:val="ListNumber"/>
    <w:rsid w:val="008932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2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2E0"/>
    <w:pPr>
      <w:numPr>
        <w:numId w:val="9"/>
      </w:numPr>
    </w:pPr>
  </w:style>
  <w:style w:type="paragraph" w:customStyle="1" w:styleId="ListAlpha2">
    <w:name w:val="List Alpha 2"/>
    <w:basedOn w:val="List2"/>
    <w:rsid w:val="008932E0"/>
    <w:pPr>
      <w:numPr>
        <w:numId w:val="8"/>
      </w:numPr>
    </w:pPr>
  </w:style>
  <w:style w:type="paragraph" w:styleId="List2">
    <w:name w:val="List 2"/>
    <w:basedOn w:val="BodyText"/>
    <w:rsid w:val="008932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2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2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2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2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2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32E0"/>
    <w:pPr>
      <w:numPr>
        <w:numId w:val="4"/>
      </w:numPr>
    </w:pPr>
  </w:style>
  <w:style w:type="paragraph" w:styleId="ListContinue2">
    <w:name w:val="List Continue 2"/>
    <w:basedOn w:val="List2"/>
    <w:rsid w:val="008932E0"/>
    <w:pPr>
      <w:ind w:firstLine="0"/>
    </w:pPr>
  </w:style>
  <w:style w:type="paragraph" w:styleId="ListContinue3">
    <w:name w:val="List Continue 3"/>
    <w:basedOn w:val="List3"/>
    <w:rsid w:val="008932E0"/>
    <w:pPr>
      <w:ind w:left="1021" w:firstLine="0"/>
    </w:pPr>
  </w:style>
  <w:style w:type="paragraph" w:styleId="ListContinue4">
    <w:name w:val="List Continue 4"/>
    <w:basedOn w:val="List4"/>
    <w:rsid w:val="008932E0"/>
    <w:pPr>
      <w:ind w:firstLine="0"/>
    </w:pPr>
  </w:style>
  <w:style w:type="paragraph" w:styleId="ListContinue5">
    <w:name w:val="List Continue 5"/>
    <w:basedOn w:val="List5"/>
    <w:rsid w:val="008932E0"/>
    <w:pPr>
      <w:ind w:firstLine="0"/>
    </w:pPr>
  </w:style>
  <w:style w:type="paragraph" w:styleId="ListNumber3">
    <w:name w:val="List Number 3"/>
    <w:basedOn w:val="List3"/>
    <w:rsid w:val="008932E0"/>
    <w:pPr>
      <w:numPr>
        <w:numId w:val="5"/>
      </w:numPr>
    </w:pPr>
  </w:style>
  <w:style w:type="paragraph" w:styleId="ListNumber4">
    <w:name w:val="List Number 4"/>
    <w:basedOn w:val="List4"/>
    <w:rsid w:val="008932E0"/>
    <w:pPr>
      <w:numPr>
        <w:numId w:val="6"/>
      </w:numPr>
    </w:pPr>
  </w:style>
  <w:style w:type="paragraph" w:styleId="ListNumber5">
    <w:name w:val="List Number 5"/>
    <w:basedOn w:val="List5"/>
    <w:rsid w:val="008932E0"/>
    <w:pPr>
      <w:numPr>
        <w:numId w:val="7"/>
      </w:numPr>
    </w:pPr>
  </w:style>
  <w:style w:type="paragraph" w:styleId="BlockText">
    <w:name w:val="Block Text"/>
    <w:basedOn w:val="Normal"/>
    <w:rsid w:val="008932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2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2E0"/>
    <w:rPr>
      <w:sz w:val="16"/>
      <w:vertAlign w:val="superscript"/>
    </w:rPr>
  </w:style>
  <w:style w:type="character" w:customStyle="1" w:styleId="Symbols">
    <w:name w:val="Symbols"/>
    <w:basedOn w:val="DefaultParagraphFont"/>
    <w:rsid w:val="008932E0"/>
    <w:rPr>
      <w:rFonts w:ascii="Symbol" w:hAnsi="Symbol"/>
    </w:rPr>
  </w:style>
  <w:style w:type="character" w:customStyle="1" w:styleId="MenuOptions">
    <w:name w:val="Menu Options"/>
    <w:basedOn w:val="DefaultParagraphFont"/>
    <w:rsid w:val="008932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2E0"/>
    <w:rPr>
      <w:b/>
    </w:rPr>
  </w:style>
  <w:style w:type="character" w:customStyle="1" w:styleId="Underlined">
    <w:name w:val="Underlined"/>
    <w:basedOn w:val="DefaultParagraphFont"/>
    <w:rsid w:val="008932E0"/>
    <w:rPr>
      <w:u w:val="single"/>
    </w:rPr>
  </w:style>
  <w:style w:type="paragraph" w:customStyle="1" w:styleId="TableBodyTextRight">
    <w:name w:val="Table Body Text Right"/>
    <w:basedOn w:val="TableBodyText"/>
    <w:rsid w:val="008932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2E0"/>
    <w:rPr>
      <w:sz w:val="18"/>
    </w:rPr>
  </w:style>
  <w:style w:type="paragraph" w:customStyle="1" w:styleId="BodySmallRight">
    <w:name w:val="Body Small Right"/>
    <w:basedOn w:val="BodyTextRight"/>
    <w:rsid w:val="008932E0"/>
    <w:rPr>
      <w:sz w:val="18"/>
      <w:szCs w:val="18"/>
    </w:rPr>
  </w:style>
  <w:style w:type="paragraph" w:customStyle="1" w:styleId="MarginEdition">
    <w:name w:val="Margin Edition"/>
    <w:basedOn w:val="MarginNote"/>
    <w:rsid w:val="008932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2E0"/>
    <w:rPr>
      <w:sz w:val="2"/>
      <w:szCs w:val="2"/>
    </w:rPr>
  </w:style>
  <w:style w:type="character" w:customStyle="1" w:styleId="Small">
    <w:name w:val="Small"/>
    <w:basedOn w:val="DefaultParagraphFont"/>
    <w:rsid w:val="008932E0"/>
    <w:rPr>
      <w:sz w:val="16"/>
    </w:rPr>
  </w:style>
  <w:style w:type="paragraph" w:customStyle="1" w:styleId="WideTable">
    <w:name w:val="Wide Table"/>
    <w:basedOn w:val="Normal"/>
    <w:rsid w:val="008932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2E0"/>
  </w:style>
  <w:style w:type="paragraph" w:styleId="Quote">
    <w:name w:val="Quote"/>
    <w:basedOn w:val="Heading1"/>
    <w:link w:val="QuoteChar"/>
    <w:qFormat/>
    <w:rsid w:val="008932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2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2E0"/>
    <w:pPr>
      <w:pageBreakBefore/>
    </w:pPr>
  </w:style>
  <w:style w:type="paragraph" w:customStyle="1" w:styleId="Border">
    <w:name w:val="Border"/>
    <w:basedOn w:val="Normal"/>
    <w:qFormat/>
    <w:rsid w:val="008932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2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2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2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2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2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2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2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2E0"/>
    <w:rPr>
      <w:u w:val="single"/>
    </w:rPr>
  </w:style>
  <w:style w:type="character" w:customStyle="1" w:styleId="BoldandItalics">
    <w:name w:val="Bold and Italics"/>
    <w:qFormat/>
    <w:rsid w:val="008932E0"/>
    <w:rPr>
      <w:b/>
      <w:i/>
      <w:u w:val="none"/>
    </w:rPr>
  </w:style>
  <w:style w:type="paragraph" w:styleId="BalloonText">
    <w:name w:val="Balloon Text"/>
    <w:basedOn w:val="Normal"/>
    <w:link w:val="BalloonTextChar"/>
    <w:rsid w:val="00893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2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2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2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2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2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2E0"/>
    <w:pPr>
      <w:spacing w:before="0" w:after="0"/>
    </w:pPr>
  </w:style>
  <w:style w:type="paragraph" w:customStyle="1" w:styleId="BodyTextBold">
    <w:name w:val="Body Text Bold"/>
    <w:basedOn w:val="BodyText"/>
    <w:qFormat/>
    <w:rsid w:val="008932E0"/>
    <w:rPr>
      <w:b/>
    </w:rPr>
  </w:style>
  <w:style w:type="character" w:styleId="Hyperlink">
    <w:name w:val="Hyperlink"/>
    <w:basedOn w:val="DefaultParagraphFont"/>
    <w:uiPriority w:val="99"/>
    <w:unhideWhenUsed/>
    <w:rsid w:val="004B09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1141</Words>
  <Characters>7694</Characters>
  <Application>Microsoft Office Word</Application>
  <DocSecurity>0</DocSecurity>
  <Lines>274</Lines>
  <Paragraphs>152</Paragraphs>
  <ScaleCrop>false</ScaleCrop>
  <Company>Author-it Software Corporation Ltd.</Company>
  <LinksUpToDate>false</LinksUpToDate>
  <CharactersWithSpaces>8683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MEM12005 Calibrate measuring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