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385" w:rsidP="00427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MEM12005 Calibrate measuring equipment</w:t>
      </w:r>
      <w:r>
        <w:fldChar w:fldCharType="end"/>
      </w:r>
    </w:p>
    <w:p w:rsidR="00427385" w:rsidP="00427385">
      <w:pPr>
        <w:pStyle w:val="Version"/>
        <w:sectPr w:rsidSect="00954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3EC" w:rsidP="009543EC">
      <w:pPr>
        <w:pStyle w:val="SuperHeading"/>
      </w:pPr>
      <w:r w:rsidRPr="009543EC">
        <w:t>Assessment Requirements for MEM12005 Calibrate measuring equipment</w:t>
      </w:r>
    </w:p>
    <w:p w:rsidR="00000000" w:rsidRPr="009543EC" w:rsidP="009543EC">
      <w:pPr>
        <w:pStyle w:val="Heading1"/>
      </w:pPr>
      <w:bookmarkStart w:id="1" w:name="O_948345"/>
      <w:bookmarkEnd w:id="1"/>
      <w:r w:rsidRPr="009543EC">
        <w:t>Modification History</w:t>
      </w:r>
    </w:p>
    <w:p w:rsidR="00000000" w:rsidRPr="009543EC" w:rsidP="00427385">
      <w:pPr>
        <w:pStyle w:val="BodyText"/>
      </w:pPr>
      <w:r w:rsidRPr="009543EC">
        <w:t xml:space="preserve">Release 1. Supersedes and is equivalent to MEM12005B Calibrate measuring equipment </w:t>
      </w:r>
    </w:p>
    <w:p w:rsidR="00000000" w:rsidRPr="009543EC" w:rsidP="009543EC">
      <w:pPr>
        <w:pStyle w:val="Heading1"/>
      </w:pPr>
      <w:bookmarkStart w:id="2" w:name="O_948348"/>
      <w:bookmarkEnd w:id="2"/>
      <w:r w:rsidRPr="009543EC">
        <w:t>Performance Evidence</w:t>
      </w:r>
    </w:p>
    <w:p w:rsidR="00000000" w:rsidRPr="009543EC" w:rsidP="00427385">
      <w:pPr>
        <w:pStyle w:val="BodyText"/>
      </w:pPr>
      <w:r w:rsidRPr="009543EC">
        <w:t>Evidence required to demonstrate competence in this unit must be relevant to and satisfy the requirements of the elements and performance criteria on at least two (2) occasions and include:</w:t>
      </w:r>
    </w:p>
    <w:p w:rsidR="00000000" w:rsidRPr="009543EC" w:rsidP="009543EC">
      <w:pPr>
        <w:pStyle w:val="ListBullet"/>
      </w:pPr>
      <w:r w:rsidRPr="009543EC">
        <w:t>following work instructions, standard operating procedures (SOPs)</w:t>
      </w:r>
      <w:r w:rsidRPr="009543EC">
        <w:t xml:space="preserve"> and safe work practices </w:t>
      </w:r>
    </w:p>
    <w:p w:rsidR="00000000" w:rsidRPr="009543EC" w:rsidP="009543EC">
      <w:pPr>
        <w:pStyle w:val="ListBullet"/>
      </w:pPr>
      <w:r w:rsidRPr="009543EC">
        <w:t xml:space="preserve">checking measuring equipment for correct operation and faults using appropriate tools and equipment </w:t>
      </w:r>
    </w:p>
    <w:p w:rsidR="00000000" w:rsidRPr="009543EC" w:rsidP="009543EC">
      <w:pPr>
        <w:pStyle w:val="ListBullet"/>
      </w:pPr>
      <w:r w:rsidRPr="009543EC">
        <w:t xml:space="preserve">selecting appropriate calibration devices and equipment to manufacturers’ specification and procedures </w:t>
      </w:r>
    </w:p>
    <w:p w:rsidR="00000000" w:rsidRPr="009543EC" w:rsidP="009543EC">
      <w:pPr>
        <w:pStyle w:val="ListBullet"/>
      </w:pPr>
      <w:r w:rsidRPr="009543EC">
        <w:t xml:space="preserve">calibrating equipment to </w:t>
      </w:r>
      <w:r w:rsidRPr="009543EC">
        <w:t xml:space="preserve">appropriate physical and reference standards for conformance to specifications and in accordance with manufacturers’ manuals and SOPs  </w:t>
      </w:r>
    </w:p>
    <w:p w:rsidR="00000000" w:rsidRPr="009543EC" w:rsidP="009543EC">
      <w:pPr>
        <w:pStyle w:val="ListBullet"/>
      </w:pPr>
      <w:r w:rsidRPr="009543EC">
        <w:t>recommissioning equipment in accordance SOPs.</w:t>
      </w:r>
    </w:p>
    <w:p w:rsidR="00000000" w:rsidRPr="009543EC" w:rsidP="009543EC">
      <w:pPr>
        <w:pStyle w:val="AllowPageBreak"/>
      </w:pPr>
    </w:p>
    <w:p w:rsidR="00000000" w:rsidRPr="009543EC" w:rsidP="009543EC">
      <w:pPr>
        <w:pStyle w:val="Heading1"/>
      </w:pPr>
      <w:bookmarkStart w:id="3" w:name="O_948347"/>
      <w:bookmarkEnd w:id="3"/>
      <w:r w:rsidRPr="009543EC">
        <w:t>Knowledge Evidence</w:t>
      </w:r>
    </w:p>
    <w:p w:rsidR="00000000" w:rsidRPr="009543EC" w:rsidP="00427385">
      <w:pPr>
        <w:pStyle w:val="BodyText"/>
      </w:pPr>
      <w:r w:rsidRPr="009543EC">
        <w:t>Evidence required to demonstrate the r</w:t>
      </w:r>
      <w:r w:rsidRPr="009543EC">
        <w:t>equired knowledge for this unit must be relevant to and satisfy the requirements of the elements and performance criteria and include knowledge of:</w:t>
      </w:r>
    </w:p>
    <w:p w:rsidR="00000000" w:rsidRPr="009543EC" w:rsidP="009543EC">
      <w:pPr>
        <w:pStyle w:val="ListBullet"/>
      </w:pPr>
      <w:r w:rsidRPr="009543EC">
        <w:t>safe work practices and procedures and use of personal protective equipment (PPE)</w:t>
      </w:r>
    </w:p>
    <w:p w:rsidR="00000000" w:rsidRPr="009543EC" w:rsidP="009543EC">
      <w:pPr>
        <w:pStyle w:val="ListBullet"/>
      </w:pPr>
      <w:r w:rsidRPr="009543EC">
        <w:t>measuring equipment speci</w:t>
      </w:r>
      <w:r w:rsidRPr="009543EC">
        <w:t xml:space="preserve">fications, operation, wearing parts, connections and components </w:t>
      </w:r>
    </w:p>
    <w:p w:rsidR="00000000" w:rsidRPr="009543EC" w:rsidP="009543EC">
      <w:pPr>
        <w:pStyle w:val="ListBullet"/>
      </w:pPr>
      <w:r w:rsidRPr="009543EC">
        <w:t xml:space="preserve">checks that are to be made of the measuring equipment and the tools and equipment to be used when checking the measuring equipment </w:t>
      </w:r>
    </w:p>
    <w:p w:rsidR="00000000" w:rsidRPr="009543EC" w:rsidP="009543EC">
      <w:pPr>
        <w:pStyle w:val="ListBullet"/>
      </w:pPr>
      <w:r w:rsidRPr="009543EC">
        <w:t>common fault(s) that may be found in the measuring equipmen</w:t>
      </w:r>
      <w:r w:rsidRPr="009543EC">
        <w:t xml:space="preserve">t </w:t>
      </w:r>
    </w:p>
    <w:p w:rsidR="00000000" w:rsidRPr="009543EC" w:rsidP="009543EC">
      <w:pPr>
        <w:pStyle w:val="ListBullet"/>
      </w:pPr>
      <w:r w:rsidRPr="009543EC">
        <w:t xml:space="preserve">effects of faults on the performance/accuracy of the measuring equipment </w:t>
      </w:r>
    </w:p>
    <w:p w:rsidR="00000000" w:rsidRPr="009543EC" w:rsidP="009543EC">
      <w:pPr>
        <w:pStyle w:val="ListBullet"/>
      </w:pPr>
      <w:r w:rsidRPr="009543EC">
        <w:t xml:space="preserve">relevant standards, legislative or regulatory requirements applicable to the measuring equipment and/or its calibration </w:t>
      </w:r>
    </w:p>
    <w:p w:rsidR="00000000" w:rsidRPr="009543EC" w:rsidP="009543EC">
      <w:pPr>
        <w:pStyle w:val="ListBullet"/>
      </w:pPr>
      <w:r w:rsidRPr="009543EC">
        <w:t>SOPs for calibrating and commissioning the measuring equip</w:t>
      </w:r>
      <w:r w:rsidRPr="009543EC">
        <w:t>ment and the tools and equipment required to do so</w:t>
      </w:r>
    </w:p>
    <w:p w:rsidR="00000000" w:rsidRPr="009543EC" w:rsidP="009543EC">
      <w:pPr>
        <w:pStyle w:val="ListBullet"/>
      </w:pPr>
      <w:r w:rsidRPr="009543EC">
        <w:t>calibration records to be kept/maintained in accordance with SOPs.</w:t>
      </w:r>
    </w:p>
    <w:p w:rsidR="00000000" w:rsidRPr="009543EC" w:rsidP="009543EC">
      <w:pPr>
        <w:pStyle w:val="AllowPageBreak"/>
      </w:pPr>
    </w:p>
    <w:p w:rsidR="00000000" w:rsidRPr="009543EC" w:rsidP="009543EC">
      <w:pPr>
        <w:pStyle w:val="Heading1"/>
      </w:pPr>
      <w:bookmarkStart w:id="4" w:name="O_948346"/>
      <w:bookmarkEnd w:id="4"/>
      <w:r w:rsidRPr="009543EC">
        <w:t>Assessment Conditions</w:t>
      </w:r>
    </w:p>
    <w:p w:rsidR="00000000" w:rsidRPr="009543EC" w:rsidP="009543EC">
      <w:pPr>
        <w:pStyle w:val="ListBullet"/>
      </w:pPr>
      <w:r w:rsidRPr="009543EC">
        <w:t>Assessors must:</w:t>
      </w:r>
    </w:p>
    <w:p w:rsidR="00000000" w:rsidRPr="009543EC" w:rsidP="009543EC">
      <w:pPr>
        <w:pStyle w:val="ListBullet2"/>
      </w:pPr>
      <w:r w:rsidRPr="009543EC">
        <w:t>have vocational competency in calibrating measuring equipment at least to the level being assessed with relevant industry knowledge and experience</w:t>
      </w:r>
    </w:p>
    <w:p w:rsidR="00000000" w:rsidRPr="009543EC" w:rsidP="009543EC">
      <w:pPr>
        <w:pStyle w:val="ListBullet2"/>
      </w:pPr>
      <w:r w:rsidRPr="009543EC">
        <w:t xml:space="preserve">satisfy the assessor requirements in the </w:t>
      </w:r>
      <w:r w:rsidRPr="009543EC">
        <w:rPr>
          <w:rStyle w:val="Emphasis"/>
        </w:rPr>
        <w:t xml:space="preserve">Standards for Registered Training Organisations 2015 </w:t>
      </w:r>
      <w:r w:rsidRPr="009543EC">
        <w:t>or its replacem</w:t>
      </w:r>
      <w:r w:rsidRPr="009543EC">
        <w:t>ent</w:t>
      </w:r>
      <w:r w:rsidRPr="009543EC">
        <w:rPr>
          <w:rStyle w:val="Emphasis"/>
        </w:rPr>
        <w:t xml:space="preserve"> </w:t>
      </w:r>
      <w:r w:rsidRPr="009543EC">
        <w:t xml:space="preserve">and comply with the </w:t>
      </w:r>
      <w:r w:rsidRPr="009543EC">
        <w:rPr>
          <w:rStyle w:val="Emphasis"/>
        </w:rPr>
        <w:t xml:space="preserve">National Vocational Education and Training Regulator Act 2011, </w:t>
      </w:r>
      <w:r w:rsidRPr="009543EC">
        <w:t>its replacement</w:t>
      </w:r>
      <w:r w:rsidRPr="009543EC">
        <w:rPr>
          <w:rStyle w:val="Emphasis"/>
        </w:rPr>
        <w:t xml:space="preserve"> </w:t>
      </w:r>
      <w:r w:rsidRPr="009543EC">
        <w:t>or equivalent legislation covering VET regulation in a non-referring state/territory as the case requires</w:t>
      </w:r>
    </w:p>
    <w:p w:rsidR="00000000" w:rsidRPr="009543EC" w:rsidP="009543EC">
      <w:pPr>
        <w:pStyle w:val="ListBullet"/>
      </w:pPr>
      <w:r w:rsidRPr="009543EC">
        <w:t>Where possible assessment must occur in operat</w:t>
      </w:r>
      <w:r w:rsidRPr="009543EC">
        <w:t>ional workplace situations. Where this is not possible or where personal safety or environmental damage are limiting factors, assessment must occur in a sufficiently rigorous simulated environment that reflects realistic operational workplace conditions. T</w:t>
      </w:r>
      <w:r w:rsidRPr="009543EC">
        <w:t>his must cover all aspects of workplace performance, including environment, task skills, task management skills, contingency management skills and job role environment skills</w:t>
      </w:r>
    </w:p>
    <w:p w:rsidR="00000000" w:rsidRPr="009543EC" w:rsidP="009543EC">
      <w:pPr>
        <w:pStyle w:val="ListBullet"/>
      </w:pPr>
      <w:r w:rsidRPr="009543EC">
        <w:t xml:space="preserve">Conditions for assessment must include access to all tools, equipment, materials </w:t>
      </w:r>
      <w:r w:rsidRPr="009543EC">
        <w:t>and documentation required, including relevant workplace procedures, product and manufacturing specifications</w:t>
      </w:r>
    </w:p>
    <w:p w:rsidR="00000000" w:rsidRPr="009543EC" w:rsidP="009543EC">
      <w:pPr>
        <w:pStyle w:val="ListBullet"/>
      </w:pPr>
      <w:r w:rsidRPr="009543EC">
        <w:t>Assessment processes and techniques must be appropriate to the language, literacy and numeracy requirements of the work being performed and the ne</w:t>
      </w:r>
      <w:r w:rsidRPr="009543EC">
        <w:t>eds of the candidate.</w:t>
      </w:r>
    </w:p>
    <w:p w:rsidR="00000000" w:rsidRPr="009543EC" w:rsidP="009543EC">
      <w:pPr>
        <w:pStyle w:val="AllowPageBreak"/>
      </w:pPr>
    </w:p>
    <w:p w:rsidR="00000000" w:rsidRPr="009543EC" w:rsidP="009543EC">
      <w:pPr>
        <w:pStyle w:val="Heading1"/>
      </w:pPr>
      <w:bookmarkStart w:id="5" w:name="O_948344"/>
      <w:bookmarkEnd w:id="5"/>
      <w:r w:rsidRPr="009543EC">
        <w:t>Links</w:t>
      </w:r>
    </w:p>
    <w:p w:rsidR="00000000" w:rsidRPr="009543EC" w:rsidP="00427385">
      <w:pPr>
        <w:pStyle w:val="BodyText"/>
      </w:pPr>
      <w:r w:rsidRPr="00954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0E4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543EC" w:rsidP="009543EC"/>
    <w:sectPr w:rsidSect="00954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C" w:rsidRPr="00427385" w:rsidP="00427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5" w:rsidP="00954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385" w:rsidP="00954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7385" w:rsidP="00954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3EC" w:rsidRPr="00427385" w:rsidP="00427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85" w:rsidRPr="002D2AF8" w:rsidP="00954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27385" w:rsidP="00954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CD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EC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2E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3EC"/>
  </w:style>
  <w:style w:type="character" w:customStyle="1" w:styleId="Heading1Char">
    <w:name w:val="Heading 1 Char"/>
    <w:basedOn w:val="DefaultParagraphFont"/>
    <w:link w:val="Heading1"/>
    <w:rsid w:val="00954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3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3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3EC"/>
    <w:rPr>
      <w:i/>
    </w:rPr>
  </w:style>
  <w:style w:type="paragraph" w:customStyle="1" w:styleId="SuperHeading">
    <w:name w:val="SuperHeading"/>
    <w:basedOn w:val="Normal"/>
    <w:rsid w:val="00954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3EC"/>
    <w:rPr>
      <w:b/>
      <w:spacing w:val="0"/>
    </w:rPr>
  </w:style>
  <w:style w:type="paragraph" w:customStyle="1" w:styleId="SuperTitle">
    <w:name w:val="SuperTitle"/>
    <w:basedOn w:val="Title"/>
    <w:rsid w:val="00954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3EC"/>
  </w:style>
  <w:style w:type="paragraph" w:styleId="TableofFigures">
    <w:name w:val="table of figures"/>
    <w:basedOn w:val="Normal"/>
    <w:next w:val="Normal"/>
    <w:semiHidden/>
    <w:rsid w:val="00954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3EC"/>
    <w:rPr>
      <w:rFonts w:ascii="Wingdings" w:hAnsi="Wingdings"/>
    </w:rPr>
  </w:style>
  <w:style w:type="paragraph" w:customStyle="1" w:styleId="TableHeading">
    <w:name w:val="Table Heading"/>
    <w:basedOn w:val="HeadingBase"/>
    <w:rsid w:val="00954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3EC"/>
    <w:rPr>
      <w:color w:val="0033CC"/>
      <w:u w:val="none"/>
    </w:rPr>
  </w:style>
  <w:style w:type="paragraph" w:customStyle="1" w:styleId="BodyTextRight">
    <w:name w:val="Body Text Right"/>
    <w:basedOn w:val="BodyText"/>
    <w:rsid w:val="00954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3EC"/>
    <w:rPr>
      <w:sz w:val="32"/>
    </w:rPr>
  </w:style>
  <w:style w:type="paragraph" w:customStyle="1" w:styleId="HeadingProcedure">
    <w:name w:val="Heading Procedure"/>
    <w:basedOn w:val="HeadingBase"/>
    <w:next w:val="Normal"/>
    <w:rsid w:val="00954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3EC"/>
    <w:pPr>
      <w:spacing w:before="60" w:after="60"/>
    </w:pPr>
  </w:style>
  <w:style w:type="paragraph" w:styleId="ListContinue">
    <w:name w:val="List Continue"/>
    <w:basedOn w:val="List"/>
    <w:rsid w:val="009543EC"/>
    <w:pPr>
      <w:ind w:firstLine="0"/>
    </w:pPr>
  </w:style>
  <w:style w:type="paragraph" w:customStyle="1" w:styleId="ListNote">
    <w:name w:val="List Note"/>
    <w:basedOn w:val="List"/>
    <w:rsid w:val="00954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3EC"/>
    <w:rPr>
      <w:rFonts w:ascii="Courier New" w:hAnsi="Courier New"/>
    </w:rPr>
  </w:style>
  <w:style w:type="paragraph" w:customStyle="1" w:styleId="NoteBullet">
    <w:name w:val="Note Bullet"/>
    <w:basedOn w:val="Note"/>
    <w:rsid w:val="00954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3EC"/>
    <w:rPr>
      <w:b/>
      <w:smallCaps/>
    </w:rPr>
  </w:style>
  <w:style w:type="paragraph" w:customStyle="1" w:styleId="TableListNumber">
    <w:name w:val="Table List Number"/>
    <w:basedOn w:val="ListNumber"/>
    <w:rsid w:val="00954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3EC"/>
    <w:pPr>
      <w:numPr>
        <w:numId w:val="9"/>
      </w:numPr>
    </w:pPr>
  </w:style>
  <w:style w:type="paragraph" w:customStyle="1" w:styleId="ListAlpha2">
    <w:name w:val="List Alpha 2"/>
    <w:basedOn w:val="List2"/>
    <w:rsid w:val="009543EC"/>
    <w:pPr>
      <w:numPr>
        <w:numId w:val="8"/>
      </w:numPr>
    </w:pPr>
  </w:style>
  <w:style w:type="paragraph" w:styleId="List2">
    <w:name w:val="List 2"/>
    <w:basedOn w:val="BodyText"/>
    <w:rsid w:val="00954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3EC"/>
    <w:pPr>
      <w:numPr>
        <w:numId w:val="4"/>
      </w:numPr>
    </w:pPr>
  </w:style>
  <w:style w:type="paragraph" w:styleId="ListContinue2">
    <w:name w:val="List Continue 2"/>
    <w:basedOn w:val="List2"/>
    <w:rsid w:val="009543EC"/>
    <w:pPr>
      <w:ind w:firstLine="0"/>
    </w:pPr>
  </w:style>
  <w:style w:type="paragraph" w:styleId="ListContinue3">
    <w:name w:val="List Continue 3"/>
    <w:basedOn w:val="List3"/>
    <w:rsid w:val="009543EC"/>
    <w:pPr>
      <w:ind w:left="1021" w:firstLine="0"/>
    </w:pPr>
  </w:style>
  <w:style w:type="paragraph" w:styleId="ListContinue4">
    <w:name w:val="List Continue 4"/>
    <w:basedOn w:val="List4"/>
    <w:rsid w:val="009543EC"/>
    <w:pPr>
      <w:ind w:firstLine="0"/>
    </w:pPr>
  </w:style>
  <w:style w:type="paragraph" w:styleId="ListContinue5">
    <w:name w:val="List Continue 5"/>
    <w:basedOn w:val="List5"/>
    <w:rsid w:val="009543EC"/>
    <w:pPr>
      <w:ind w:firstLine="0"/>
    </w:pPr>
  </w:style>
  <w:style w:type="paragraph" w:styleId="ListNumber3">
    <w:name w:val="List Number 3"/>
    <w:basedOn w:val="List3"/>
    <w:rsid w:val="009543EC"/>
    <w:pPr>
      <w:numPr>
        <w:numId w:val="5"/>
      </w:numPr>
    </w:pPr>
  </w:style>
  <w:style w:type="paragraph" w:styleId="ListNumber4">
    <w:name w:val="List Number 4"/>
    <w:basedOn w:val="List4"/>
    <w:rsid w:val="009543EC"/>
    <w:pPr>
      <w:numPr>
        <w:numId w:val="6"/>
      </w:numPr>
    </w:pPr>
  </w:style>
  <w:style w:type="paragraph" w:styleId="ListNumber5">
    <w:name w:val="List Number 5"/>
    <w:basedOn w:val="List5"/>
    <w:rsid w:val="009543EC"/>
    <w:pPr>
      <w:numPr>
        <w:numId w:val="7"/>
      </w:numPr>
    </w:pPr>
  </w:style>
  <w:style w:type="paragraph" w:styleId="BlockText">
    <w:name w:val="Block Text"/>
    <w:basedOn w:val="Normal"/>
    <w:rsid w:val="00954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3EC"/>
    <w:rPr>
      <w:sz w:val="16"/>
      <w:vertAlign w:val="superscript"/>
    </w:rPr>
  </w:style>
  <w:style w:type="character" w:customStyle="1" w:styleId="Symbols">
    <w:name w:val="Symbols"/>
    <w:basedOn w:val="DefaultParagraphFont"/>
    <w:rsid w:val="009543EC"/>
    <w:rPr>
      <w:rFonts w:ascii="Symbol" w:hAnsi="Symbol"/>
    </w:rPr>
  </w:style>
  <w:style w:type="character" w:customStyle="1" w:styleId="MenuOptions">
    <w:name w:val="Menu Options"/>
    <w:basedOn w:val="DefaultParagraphFont"/>
    <w:rsid w:val="00954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3EC"/>
    <w:rPr>
      <w:b/>
    </w:rPr>
  </w:style>
  <w:style w:type="character" w:customStyle="1" w:styleId="Underlined">
    <w:name w:val="Underlined"/>
    <w:basedOn w:val="DefaultParagraphFont"/>
    <w:rsid w:val="009543EC"/>
    <w:rPr>
      <w:u w:val="single"/>
    </w:rPr>
  </w:style>
  <w:style w:type="paragraph" w:customStyle="1" w:styleId="TableBodyTextRight">
    <w:name w:val="Table Body Text Right"/>
    <w:basedOn w:val="TableBodyText"/>
    <w:rsid w:val="00954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3EC"/>
    <w:rPr>
      <w:sz w:val="18"/>
    </w:rPr>
  </w:style>
  <w:style w:type="paragraph" w:customStyle="1" w:styleId="BodySmallRight">
    <w:name w:val="Body Small Right"/>
    <w:basedOn w:val="BodyTextRight"/>
    <w:rsid w:val="009543EC"/>
    <w:rPr>
      <w:sz w:val="18"/>
      <w:szCs w:val="18"/>
    </w:rPr>
  </w:style>
  <w:style w:type="paragraph" w:customStyle="1" w:styleId="MarginEdition">
    <w:name w:val="Margin Edition"/>
    <w:basedOn w:val="MarginNote"/>
    <w:rsid w:val="00954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3EC"/>
    <w:rPr>
      <w:sz w:val="2"/>
      <w:szCs w:val="2"/>
    </w:rPr>
  </w:style>
  <w:style w:type="character" w:customStyle="1" w:styleId="Small">
    <w:name w:val="Small"/>
    <w:basedOn w:val="DefaultParagraphFont"/>
    <w:rsid w:val="009543EC"/>
    <w:rPr>
      <w:sz w:val="16"/>
    </w:rPr>
  </w:style>
  <w:style w:type="paragraph" w:customStyle="1" w:styleId="WideTable">
    <w:name w:val="Wide Table"/>
    <w:basedOn w:val="Normal"/>
    <w:rsid w:val="00954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3EC"/>
  </w:style>
  <w:style w:type="paragraph" w:styleId="Quote">
    <w:name w:val="Quote"/>
    <w:basedOn w:val="Heading1"/>
    <w:link w:val="QuoteChar"/>
    <w:qFormat/>
    <w:rsid w:val="00954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3EC"/>
    <w:pPr>
      <w:pageBreakBefore/>
    </w:pPr>
  </w:style>
  <w:style w:type="paragraph" w:customStyle="1" w:styleId="Border">
    <w:name w:val="Border"/>
    <w:basedOn w:val="Normal"/>
    <w:qFormat/>
    <w:rsid w:val="00954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3EC"/>
    <w:rPr>
      <w:u w:val="single"/>
    </w:rPr>
  </w:style>
  <w:style w:type="character" w:customStyle="1" w:styleId="BoldandItalics">
    <w:name w:val="Bold and Italics"/>
    <w:qFormat/>
    <w:rsid w:val="009543EC"/>
    <w:rPr>
      <w:b/>
      <w:i/>
      <w:u w:val="none"/>
    </w:rPr>
  </w:style>
  <w:style w:type="paragraph" w:styleId="BalloonText">
    <w:name w:val="Balloon Text"/>
    <w:basedOn w:val="Normal"/>
    <w:link w:val="BalloonTextChar"/>
    <w:rsid w:val="00954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3EC"/>
    <w:pPr>
      <w:spacing w:before="0" w:after="0"/>
    </w:pPr>
  </w:style>
  <w:style w:type="paragraph" w:customStyle="1" w:styleId="BodyTextBold">
    <w:name w:val="Body Text Bold"/>
    <w:basedOn w:val="BodyText"/>
    <w:qFormat/>
    <w:rsid w:val="009543EC"/>
    <w:rPr>
      <w:b/>
    </w:rPr>
  </w:style>
  <w:style w:type="character" w:styleId="Hyperlink">
    <w:name w:val="Hyperlink"/>
    <w:basedOn w:val="DefaultParagraphFont"/>
    <w:uiPriority w:val="99"/>
    <w:unhideWhenUsed/>
    <w:rsid w:val="00427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3108</Characters>
  <Application>Microsoft Office Word</Application>
  <DocSecurity>0</DocSecurity>
  <Lines>66</Lines>
  <Paragraphs>37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MEM12005 Calibrate measuring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