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0D6" w:rsidP="00805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MEM11022 Operate fixed/moveable load shifting equipment</w:t>
      </w:r>
      <w:r>
        <w:fldChar w:fldCharType="end"/>
      </w:r>
    </w:p>
    <w:p w:rsidR="008050D6" w:rsidP="008050D6">
      <w:pPr>
        <w:pStyle w:val="Version"/>
        <w:sectPr w:rsidSect="00B61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06E" w:rsidP="00B6106E">
      <w:pPr>
        <w:pStyle w:val="SuperHeading"/>
      </w:pPr>
      <w:r w:rsidRPr="00B6106E">
        <w:t>MEM11022 Operate fixed/moveable load shifting equipment</w:t>
      </w:r>
    </w:p>
    <w:p w:rsidR="00000000" w:rsidRPr="00B6106E" w:rsidP="00B6106E">
      <w:pPr>
        <w:pStyle w:val="Heading1"/>
      </w:pPr>
      <w:bookmarkStart w:id="1" w:name="O_950780"/>
      <w:bookmarkEnd w:id="1"/>
      <w:r w:rsidRPr="00B6106E">
        <w:t>Modification History</w:t>
      </w:r>
    </w:p>
    <w:p w:rsidR="00000000" w:rsidRPr="00B6106E" w:rsidP="008050D6">
      <w:pPr>
        <w:pStyle w:val="BodyText"/>
      </w:pPr>
      <w:r w:rsidRPr="00B6106E">
        <w:t xml:space="preserve">Release 1. Supersedes and is equivalent to MEM11022B Operate fixed/movable load shifting equipment </w:t>
      </w:r>
    </w:p>
    <w:p w:rsidR="00000000" w:rsidRPr="00B6106E" w:rsidP="00B6106E">
      <w:pPr>
        <w:pStyle w:val="Heading1"/>
      </w:pPr>
      <w:bookmarkStart w:id="2" w:name="O_950788"/>
      <w:bookmarkEnd w:id="2"/>
      <w:r w:rsidRPr="00B6106E">
        <w:t>Application</w:t>
      </w:r>
    </w:p>
    <w:p w:rsidR="00000000" w:rsidRPr="00B6106E" w:rsidP="008050D6">
      <w:pPr>
        <w:pStyle w:val="BodyText"/>
      </w:pPr>
      <w:r w:rsidRPr="00B6106E">
        <w:t>This unit of competency defines the skills and knowledge required to conduct routine opera</w:t>
      </w:r>
      <w:r w:rsidRPr="00B6106E">
        <w:t>tion and safety checks of fixed/moveable load shifting equipment within the limits of manufacturers</w:t>
      </w:r>
      <w:r>
        <w:t>’</w:t>
      </w:r>
      <w:r w:rsidRPr="00B6106E">
        <w:t xml:space="preserve"> recommended procedures.</w:t>
      </w:r>
    </w:p>
    <w:p w:rsidR="00000000" w:rsidRPr="00B6106E" w:rsidP="008050D6">
      <w:pPr>
        <w:pStyle w:val="BodyText"/>
      </w:pPr>
      <w:r w:rsidRPr="00B6106E">
        <w:t xml:space="preserve">It covers safe working loads, picking up loads, shifting and placing loads and activities where knowledge of codes and signals is </w:t>
      </w:r>
      <w:r w:rsidRPr="00B6106E">
        <w:t>not required.</w:t>
      </w:r>
    </w:p>
    <w:p w:rsidR="00000000" w:rsidRPr="00B6106E" w:rsidP="008050D6">
      <w:pPr>
        <w:pStyle w:val="BodyText"/>
      </w:pPr>
      <w:r w:rsidRPr="00B6106E">
        <w:t>Where the selection and use of tools is required unit MEM18001 Use hand tools and unit MEM18002 Use power tools/hand held operations, should also be selected as appropriate.</w:t>
      </w:r>
    </w:p>
    <w:p w:rsidR="00000000" w:rsidRPr="00B6106E" w:rsidP="008050D6">
      <w:pPr>
        <w:pStyle w:val="BodyText"/>
      </w:pPr>
      <w:r w:rsidRPr="00B6106E">
        <w:t>Depending on the equipment being used a high risk work licence may</w:t>
      </w:r>
      <w:r w:rsidRPr="00B6106E">
        <w:t xml:space="preserve"> be required and users should check with the relevant authorities.</w:t>
      </w:r>
    </w:p>
    <w:p w:rsidR="00000000" w:rsidRPr="00B6106E" w:rsidP="00B6106E">
      <w:pPr>
        <w:pStyle w:val="BodyText"/>
      </w:pPr>
      <w:r w:rsidRPr="00B6106E">
        <w:rPr>
          <w:rStyle w:val="SpecialBold"/>
        </w:rPr>
        <w:t>Band</w:t>
      </w:r>
      <w:r w:rsidRPr="00B6106E">
        <w:t>:</w:t>
      </w:r>
      <w:r w:rsidRPr="00B6106E">
        <w:tab/>
      </w:r>
      <w:r w:rsidRPr="00B6106E">
        <w:rPr>
          <w:rStyle w:val="SpecialBold"/>
        </w:rPr>
        <w:t>A</w:t>
      </w:r>
    </w:p>
    <w:p w:rsidR="00000000" w:rsidRPr="00B6106E" w:rsidP="00B6106E">
      <w:pPr>
        <w:pStyle w:val="BodyText"/>
      </w:pPr>
      <w:r w:rsidRPr="00B6106E">
        <w:rPr>
          <w:rStyle w:val="SpecialBold"/>
        </w:rPr>
        <w:t>Unit Weight</w:t>
      </w:r>
      <w:r w:rsidRPr="00B6106E">
        <w:t>:</w:t>
      </w:r>
      <w:r w:rsidRPr="00B6106E">
        <w:tab/>
      </w:r>
      <w:r w:rsidRPr="00B6106E">
        <w:rPr>
          <w:rStyle w:val="SpecialBold"/>
        </w:rPr>
        <w:t>4</w:t>
      </w:r>
    </w:p>
    <w:p w:rsidR="00000000" w:rsidRPr="00B6106E" w:rsidP="00B6106E">
      <w:pPr>
        <w:pStyle w:val="AllowPageBreak"/>
      </w:pPr>
    </w:p>
    <w:p w:rsidR="00000000" w:rsidRPr="00B6106E" w:rsidP="00B6106E">
      <w:pPr>
        <w:pStyle w:val="Heading1"/>
      </w:pPr>
      <w:bookmarkStart w:id="3" w:name="O_950787"/>
      <w:bookmarkEnd w:id="3"/>
      <w:r w:rsidRPr="00B6106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Undertake manual handling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Work safely and effectively in manufacturing and engineering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BodyText"/>
            </w:pPr>
            <w:r w:rsidRPr="00B6106E">
              <w:t>Organise and communicate information</w:t>
            </w:r>
          </w:p>
        </w:tc>
      </w:tr>
    </w:tbl>
    <w:p w:rsidR="00000000" w:rsidRPr="00B6106E" w:rsidP="00B6106E">
      <w:pPr>
        <w:pStyle w:val="BodyText"/>
      </w:pPr>
    </w:p>
    <w:p w:rsidR="00000000" w:rsidRPr="00B6106E" w:rsidP="00B6106E">
      <w:pPr>
        <w:pStyle w:val="AllowPageBreak"/>
      </w:pPr>
    </w:p>
    <w:p w:rsidR="00000000" w:rsidRPr="00B6106E" w:rsidP="00B6106E">
      <w:pPr>
        <w:pStyle w:val="Heading1"/>
      </w:pPr>
      <w:bookmarkStart w:id="4" w:name="O_950786"/>
      <w:bookmarkEnd w:id="4"/>
      <w:r w:rsidRPr="00B6106E">
        <w:t>Competency Field</w:t>
      </w:r>
    </w:p>
    <w:p w:rsidR="00000000" w:rsidRPr="00B6106E" w:rsidP="008050D6">
      <w:pPr>
        <w:pStyle w:val="BodyText"/>
      </w:pPr>
      <w:r w:rsidRPr="00B6106E">
        <w:t>Materials handling</w:t>
      </w:r>
    </w:p>
    <w:p w:rsidR="00000000" w:rsidRPr="00B6106E" w:rsidP="00B6106E">
      <w:pPr>
        <w:pStyle w:val="Heading1"/>
      </w:pPr>
      <w:bookmarkStart w:id="5" w:name="O_950784"/>
      <w:bookmarkEnd w:id="5"/>
      <w:r w:rsidRPr="00B610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Performance criteria describe the performance needed to demonstrate ac</w:t>
            </w:r>
            <w:r w:rsidRPr="00B6106E">
              <w:t>hievement of the element.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BodyText"/>
            </w:pPr>
            <w:r w:rsidRPr="00B6106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Follow standard operating procedures (SOPs)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Comply with work health and safety (WHS) requirements at all times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Use appropriate personal protective</w:t>
            </w:r>
            <w:r w:rsidRPr="00B6106E">
              <w:t xml:space="preserve"> equipment (PPE) in accordance with SOPs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Identify job requirements from job sheets or work instructions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BodyText"/>
            </w:pPr>
            <w:r w:rsidRPr="00B6106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Conduct routine operation and safety checks of load shifting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Interpret operational principles of fixed/move</w:t>
            </w:r>
            <w:r w:rsidRPr="00B6106E">
              <w:t>able load shifting equipment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Undertake routine pre-operational checks in accordance with manufacturers</w:t>
            </w:r>
            <w:r>
              <w:t>’</w:t>
            </w:r>
            <w:r w:rsidRPr="00B6106E">
              <w:t xml:space="preserve"> specifications and regulatory safety requirements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Report non-compliance with specifications according to SOPs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BodyText"/>
            </w:pPr>
            <w:r w:rsidRPr="00B6106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Pick up loads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Select appropriate load shifting device for the load and shifting requirements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Operate load shifting device within design specifications and safe working load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Lift/roll load, ensuring b</w:t>
            </w:r>
            <w:r w:rsidRPr="00B6106E">
              <w:t>alance, vision of operation, safety of personnel and protection of load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BodyText"/>
            </w:pPr>
            <w:r w:rsidRPr="00B6106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Shift and place loads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Move load at an appropriate and safe speed using a safe and efficient path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Monitor path of movement for obstacles and hazards during shifting process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Lower loads at an appropriate and safe rate</w:t>
            </w:r>
          </w:p>
        </w:tc>
      </w:tr>
      <w:tr w:rsidTr="00B61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BodyText"/>
            </w:pPr>
            <w:r w:rsidRPr="00B6106E">
              <w:t xml:space="preserve">Place loads to ensure stability, protection of material and </w:t>
            </w:r>
            <w:r w:rsidRPr="00B6106E">
              <w:t>avoidance of hazards on site</w:t>
            </w:r>
          </w:p>
        </w:tc>
      </w:tr>
    </w:tbl>
    <w:p w:rsidR="00000000" w:rsidRPr="00B6106E" w:rsidP="00B6106E">
      <w:pPr>
        <w:pStyle w:val="BodyText"/>
      </w:pPr>
    </w:p>
    <w:p w:rsidR="00000000" w:rsidRPr="00B6106E" w:rsidP="00B6106E">
      <w:pPr>
        <w:pStyle w:val="AllowPageBreak"/>
      </w:pPr>
    </w:p>
    <w:p w:rsidR="00000000" w:rsidRPr="00B6106E" w:rsidP="00B6106E">
      <w:pPr>
        <w:pStyle w:val="Heading1"/>
      </w:pPr>
      <w:bookmarkStart w:id="6" w:name="O_950783"/>
      <w:bookmarkEnd w:id="6"/>
      <w:r w:rsidRPr="00B6106E">
        <w:t>Foundation Skills</w:t>
      </w:r>
    </w:p>
    <w:p w:rsidR="00000000" w:rsidRPr="00B6106E" w:rsidP="008050D6">
      <w:pPr>
        <w:pStyle w:val="BodyText"/>
      </w:pPr>
      <w:r w:rsidRPr="00B6106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6106E" w:rsidP="008050D6">
      <w:pPr>
        <w:pStyle w:val="BodyText"/>
      </w:pPr>
      <w:r w:rsidRPr="00B6106E">
        <w:t>Foundation skills essential to performance are explicit in the per</w:t>
      </w:r>
      <w:r w:rsidRPr="00B6106E">
        <w:t>formance criteria of this unit of competency.</w:t>
      </w:r>
    </w:p>
    <w:p w:rsidR="00000000" w:rsidRPr="00B6106E" w:rsidP="00B6106E">
      <w:pPr>
        <w:pStyle w:val="Heading1"/>
      </w:pPr>
      <w:bookmarkStart w:id="7" w:name="O_950782"/>
      <w:bookmarkEnd w:id="7"/>
      <w:r w:rsidRPr="00B6106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B610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t>This field allows for different work environments and conditions that may affect performance. Essential operating conditions that may be present (depending on the work situa</w:t>
            </w:r>
            <w:r w:rsidRPr="00B6106E">
              <w:t>tion, needs of the candidate, accessibility of the item, and local industry and regional contexts) are included.</w:t>
            </w:r>
          </w:p>
        </w:tc>
      </w:tr>
      <w:tr w:rsidTr="00B610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Fixed</w:t>
            </w:r>
            <w:r w:rsidRPr="00B6106E">
              <w:t>/</w:t>
            </w:r>
            <w:r w:rsidRPr="00B6106E">
              <w:rPr>
                <w:rStyle w:val="SpecialBold"/>
              </w:rPr>
              <w:t>moveable load shifting 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ListBullet"/>
            </w:pPr>
            <w:r w:rsidRPr="00B6106E">
              <w:t>pendant cranes</w:t>
            </w:r>
          </w:p>
          <w:p w:rsidR="00000000" w:rsidRPr="00B6106E" w:rsidP="00B6106E">
            <w:pPr>
              <w:pStyle w:val="ListBullet"/>
            </w:pPr>
            <w:r w:rsidRPr="00B6106E">
              <w:t>yard, workshop and travelling overhead cran</w:t>
            </w:r>
            <w:r w:rsidRPr="00B6106E">
              <w:t>es</w:t>
            </w:r>
          </w:p>
          <w:p w:rsidR="00000000" w:rsidRPr="00B6106E" w:rsidP="00B6106E">
            <w:pPr>
              <w:pStyle w:val="ListBullet"/>
            </w:pPr>
            <w:r w:rsidRPr="00B6106E">
              <w:t>monorail hoists and chain blocks</w:t>
            </w:r>
          </w:p>
          <w:p w:rsidR="00000000" w:rsidRPr="00B6106E" w:rsidP="00B6106E">
            <w:pPr>
              <w:pStyle w:val="ListBullet"/>
            </w:pPr>
            <w:r w:rsidRPr="00B6106E">
              <w:t>pivoting and slewing jibs rails (manual, air or electric)</w:t>
            </w:r>
          </w:p>
          <w:p w:rsidR="00000000" w:rsidP="00B6106E">
            <w:pPr>
              <w:pStyle w:val="BodyText"/>
              <w:rPr>
                <w:lang w:val="en-NZ"/>
              </w:rPr>
            </w:pPr>
          </w:p>
        </w:tc>
      </w:tr>
      <w:tr w:rsidTr="00B610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Pre-operational checks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ListBullet"/>
            </w:pPr>
            <w:r w:rsidRPr="00B6106E">
              <w:t>hazards warning lights</w:t>
            </w:r>
          </w:p>
          <w:p w:rsidR="00000000" w:rsidRPr="00B6106E" w:rsidP="00B6106E">
            <w:pPr>
              <w:pStyle w:val="ListBullet"/>
            </w:pPr>
            <w:r w:rsidRPr="00B6106E">
              <w:t>wire rope</w:t>
            </w:r>
          </w:p>
          <w:p w:rsidR="00000000" w:rsidRPr="00B6106E" w:rsidP="00B6106E">
            <w:pPr>
              <w:pStyle w:val="ListBullet"/>
            </w:pPr>
            <w:r w:rsidRPr="00B6106E">
              <w:t>lifting blocks</w:t>
            </w:r>
          </w:p>
          <w:p w:rsidR="00000000" w:rsidRPr="00B6106E" w:rsidP="00B6106E">
            <w:pPr>
              <w:pStyle w:val="ListBullet"/>
            </w:pPr>
            <w:r w:rsidRPr="00B6106E">
              <w:t>compass</w:t>
            </w:r>
          </w:p>
          <w:p w:rsidR="00000000" w:rsidRPr="00B6106E" w:rsidP="00B6106E">
            <w:pPr>
              <w:pStyle w:val="ListBullet"/>
            </w:pPr>
            <w:r w:rsidRPr="00B6106E">
              <w:t>operation of controls</w:t>
            </w:r>
          </w:p>
          <w:p w:rsidR="00000000" w:rsidRPr="00B6106E" w:rsidP="00B6106E">
            <w:pPr>
              <w:pStyle w:val="ListBullet"/>
            </w:pPr>
            <w:r w:rsidRPr="00B6106E">
              <w:t>safe working load marked as determined by manufacturers</w:t>
            </w:r>
            <w:r>
              <w:t>’</w:t>
            </w:r>
            <w:r w:rsidRPr="00B6106E">
              <w:t xml:space="preserve"> specifications and SOPs</w:t>
            </w:r>
          </w:p>
          <w:p w:rsidR="00000000" w:rsidP="00B6106E">
            <w:pPr>
              <w:pStyle w:val="BodyText"/>
              <w:rPr>
                <w:lang w:val="en-NZ"/>
              </w:rPr>
            </w:pPr>
          </w:p>
        </w:tc>
      </w:tr>
      <w:tr w:rsidTr="00B6106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06E">
            <w:pPr>
              <w:pStyle w:val="BodyText"/>
              <w:rPr>
                <w:lang w:val="en-NZ"/>
              </w:rPr>
            </w:pPr>
            <w:r w:rsidRPr="00B6106E">
              <w:rPr>
                <w:rStyle w:val="SpecialBold"/>
              </w:rPr>
              <w:t>Obstacles and hazards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06E" w:rsidP="00B6106E">
            <w:pPr>
              <w:pStyle w:val="ListBullet"/>
            </w:pPr>
            <w:r w:rsidRPr="00B6106E">
              <w:t>overhead cables</w:t>
            </w:r>
          </w:p>
          <w:p w:rsidR="00000000" w:rsidRPr="00B6106E" w:rsidP="00B6106E">
            <w:pPr>
              <w:pStyle w:val="ListBullet"/>
            </w:pPr>
            <w:r w:rsidRPr="00B6106E">
              <w:t>electrical hazards (live rails)</w:t>
            </w:r>
          </w:p>
          <w:p w:rsidR="00000000" w:rsidRPr="00B6106E" w:rsidP="00B6106E">
            <w:pPr>
              <w:pStyle w:val="ListBullet"/>
            </w:pPr>
            <w:r w:rsidRPr="00B6106E">
              <w:t>personnel</w:t>
            </w:r>
          </w:p>
          <w:p w:rsidR="00000000" w:rsidRPr="00B6106E" w:rsidP="00B6106E">
            <w:pPr>
              <w:pStyle w:val="ListBullet"/>
            </w:pPr>
            <w:r w:rsidRPr="00B6106E">
              <w:t>obstacles (fixed and moveable)</w:t>
            </w:r>
          </w:p>
          <w:p w:rsidR="00000000" w:rsidRPr="00B6106E" w:rsidP="00B6106E">
            <w:pPr>
              <w:pStyle w:val="ListBullet"/>
            </w:pPr>
            <w:r w:rsidRPr="00B6106E">
              <w:t xml:space="preserve">swing of the load </w:t>
            </w:r>
          </w:p>
          <w:p w:rsidR="00000000" w:rsidRPr="00B6106E" w:rsidP="00B6106E">
            <w:pPr>
              <w:pStyle w:val="ListBullet"/>
            </w:pPr>
            <w:r w:rsidRPr="00B6106E">
              <w:t>failure of slings</w:t>
            </w:r>
          </w:p>
          <w:p w:rsidR="00000000" w:rsidRPr="00B6106E" w:rsidP="00B6106E">
            <w:pPr>
              <w:pStyle w:val="BodyText"/>
            </w:pPr>
          </w:p>
        </w:tc>
      </w:tr>
    </w:tbl>
    <w:p w:rsidR="00000000" w:rsidRPr="00B6106E" w:rsidP="00B6106E">
      <w:pPr>
        <w:pStyle w:val="BodyText"/>
      </w:pPr>
    </w:p>
    <w:p w:rsidR="00000000" w:rsidRPr="00B6106E" w:rsidP="00B6106E">
      <w:pPr>
        <w:pStyle w:val="AllowPageBreak"/>
      </w:pPr>
    </w:p>
    <w:p w:rsidR="00000000" w:rsidRPr="00B6106E" w:rsidP="00B6106E">
      <w:pPr>
        <w:pStyle w:val="Heading1"/>
      </w:pPr>
      <w:bookmarkStart w:id="8" w:name="O_950781"/>
      <w:bookmarkEnd w:id="8"/>
      <w:r w:rsidRPr="00B6106E">
        <w:t>Unit Mapping Information</w:t>
      </w:r>
    </w:p>
    <w:p w:rsidR="00000000" w:rsidRPr="00B6106E" w:rsidP="008050D6">
      <w:pPr>
        <w:pStyle w:val="BodyText"/>
      </w:pPr>
      <w:r w:rsidRPr="00B6106E">
        <w:t xml:space="preserve">Release 1. Supersedes and is equivalent to MEM11022B Operate fixed/movable load shifting equipment </w:t>
      </w:r>
    </w:p>
    <w:p w:rsidR="00000000" w:rsidRPr="00B6106E" w:rsidP="00B6106E">
      <w:pPr>
        <w:pStyle w:val="Heading1"/>
      </w:pPr>
      <w:bookmarkStart w:id="9" w:name="O_950774"/>
      <w:bookmarkEnd w:id="9"/>
      <w:r w:rsidRPr="00B6106E">
        <w:t>Links</w:t>
      </w:r>
    </w:p>
    <w:p w:rsidR="00000000" w:rsidRPr="00B6106E" w:rsidP="008050D6">
      <w:pPr>
        <w:pStyle w:val="BodyText"/>
      </w:pPr>
      <w:r w:rsidRPr="00B610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3B2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6106E" w:rsidP="00B6106E"/>
    <w:sectPr w:rsidSect="00B610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 w:rsidP="00B61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0D6" w:rsidP="00B61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50D6" w:rsidP="00B61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06E" w:rsidRPr="008050D6" w:rsidP="00805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D6" w:rsidRPr="002D2AF8" w:rsidP="00B61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MEM11022 Operate fixed/moveable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50D6" w:rsidP="00B61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103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E64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06E"/>
  </w:style>
  <w:style w:type="character" w:customStyle="1" w:styleId="Heading1Char">
    <w:name w:val="Heading 1 Char"/>
    <w:basedOn w:val="DefaultParagraphFont"/>
    <w:link w:val="Heading1"/>
    <w:rsid w:val="00B61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0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0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06E"/>
    <w:rPr>
      <w:b/>
      <w:spacing w:val="0"/>
    </w:rPr>
  </w:style>
  <w:style w:type="paragraph" w:customStyle="1" w:styleId="SuperHeading">
    <w:name w:val="SuperHeading"/>
    <w:basedOn w:val="Normal"/>
    <w:rsid w:val="00B61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0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0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0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06E"/>
    <w:rPr>
      <w:i/>
    </w:rPr>
  </w:style>
  <w:style w:type="paragraph" w:styleId="Caption">
    <w:name w:val="caption"/>
    <w:basedOn w:val="BodyText"/>
    <w:next w:val="Normal"/>
    <w:qFormat/>
    <w:rsid w:val="00B61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06E"/>
  </w:style>
  <w:style w:type="paragraph" w:styleId="TableofFigures">
    <w:name w:val="table of figures"/>
    <w:basedOn w:val="Normal"/>
    <w:next w:val="Normal"/>
    <w:semiHidden/>
    <w:rsid w:val="00B61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0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06E"/>
    <w:rPr>
      <w:rFonts w:ascii="Wingdings" w:hAnsi="Wingdings"/>
    </w:rPr>
  </w:style>
  <w:style w:type="paragraph" w:customStyle="1" w:styleId="TableHeading">
    <w:name w:val="Table Heading"/>
    <w:basedOn w:val="HeadingBase"/>
    <w:rsid w:val="00B61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06E"/>
    <w:rPr>
      <w:color w:val="0033CC"/>
      <w:u w:val="none"/>
    </w:rPr>
  </w:style>
  <w:style w:type="paragraph" w:customStyle="1" w:styleId="BodyTextRight">
    <w:name w:val="Body Text Right"/>
    <w:basedOn w:val="BodyText"/>
    <w:rsid w:val="00B61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0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06E"/>
    <w:rPr>
      <w:sz w:val="32"/>
    </w:rPr>
  </w:style>
  <w:style w:type="paragraph" w:customStyle="1" w:styleId="HeadingProcedure">
    <w:name w:val="Heading Procedure"/>
    <w:basedOn w:val="HeadingBase"/>
    <w:next w:val="Normal"/>
    <w:rsid w:val="00B61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06E"/>
    <w:pPr>
      <w:spacing w:before="60" w:after="60"/>
    </w:pPr>
  </w:style>
  <w:style w:type="paragraph" w:styleId="ListContinue">
    <w:name w:val="List Continue"/>
    <w:basedOn w:val="List"/>
    <w:rsid w:val="00B6106E"/>
    <w:pPr>
      <w:ind w:firstLine="0"/>
    </w:pPr>
  </w:style>
  <w:style w:type="paragraph" w:customStyle="1" w:styleId="ListNote">
    <w:name w:val="List Note"/>
    <w:basedOn w:val="List"/>
    <w:rsid w:val="00B61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06E"/>
    <w:rPr>
      <w:rFonts w:ascii="Courier New" w:hAnsi="Courier New"/>
    </w:rPr>
  </w:style>
  <w:style w:type="paragraph" w:customStyle="1" w:styleId="NoteBullet">
    <w:name w:val="Note Bullet"/>
    <w:basedOn w:val="Note"/>
    <w:rsid w:val="00B61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0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06E"/>
    <w:rPr>
      <w:b/>
      <w:smallCaps/>
    </w:rPr>
  </w:style>
  <w:style w:type="paragraph" w:customStyle="1" w:styleId="TableListNumber">
    <w:name w:val="Table List Number"/>
    <w:basedOn w:val="ListNumber"/>
    <w:rsid w:val="00B61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06E"/>
    <w:pPr>
      <w:numPr>
        <w:numId w:val="8"/>
      </w:numPr>
    </w:pPr>
  </w:style>
  <w:style w:type="paragraph" w:customStyle="1" w:styleId="ListAlpha2">
    <w:name w:val="List Alpha 2"/>
    <w:basedOn w:val="List2"/>
    <w:rsid w:val="00B6106E"/>
    <w:pPr>
      <w:numPr>
        <w:numId w:val="7"/>
      </w:numPr>
    </w:pPr>
  </w:style>
  <w:style w:type="paragraph" w:styleId="List2">
    <w:name w:val="List 2"/>
    <w:basedOn w:val="BodyText"/>
    <w:rsid w:val="00B61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0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0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06E"/>
    <w:pPr>
      <w:numPr>
        <w:numId w:val="3"/>
      </w:numPr>
    </w:pPr>
  </w:style>
  <w:style w:type="paragraph" w:styleId="ListContinue2">
    <w:name w:val="List Continue 2"/>
    <w:basedOn w:val="List2"/>
    <w:rsid w:val="00B6106E"/>
    <w:pPr>
      <w:ind w:firstLine="0"/>
    </w:pPr>
  </w:style>
  <w:style w:type="paragraph" w:styleId="ListContinue3">
    <w:name w:val="List Continue 3"/>
    <w:basedOn w:val="List3"/>
    <w:rsid w:val="00B6106E"/>
    <w:pPr>
      <w:ind w:left="1021" w:firstLine="0"/>
    </w:pPr>
  </w:style>
  <w:style w:type="paragraph" w:styleId="ListContinue4">
    <w:name w:val="List Continue 4"/>
    <w:basedOn w:val="List4"/>
    <w:rsid w:val="00B6106E"/>
    <w:pPr>
      <w:ind w:firstLine="0"/>
    </w:pPr>
  </w:style>
  <w:style w:type="paragraph" w:styleId="ListContinue5">
    <w:name w:val="List Continue 5"/>
    <w:basedOn w:val="List5"/>
    <w:rsid w:val="00B6106E"/>
    <w:pPr>
      <w:ind w:firstLine="0"/>
    </w:pPr>
  </w:style>
  <w:style w:type="paragraph" w:styleId="ListNumber3">
    <w:name w:val="List Number 3"/>
    <w:basedOn w:val="List3"/>
    <w:rsid w:val="00B6106E"/>
    <w:pPr>
      <w:numPr>
        <w:numId w:val="4"/>
      </w:numPr>
    </w:pPr>
  </w:style>
  <w:style w:type="paragraph" w:styleId="ListNumber4">
    <w:name w:val="List Number 4"/>
    <w:basedOn w:val="List4"/>
    <w:rsid w:val="00B6106E"/>
    <w:pPr>
      <w:numPr>
        <w:numId w:val="5"/>
      </w:numPr>
    </w:pPr>
  </w:style>
  <w:style w:type="paragraph" w:styleId="ListNumber5">
    <w:name w:val="List Number 5"/>
    <w:basedOn w:val="List5"/>
    <w:rsid w:val="00B6106E"/>
    <w:pPr>
      <w:numPr>
        <w:numId w:val="6"/>
      </w:numPr>
    </w:pPr>
  </w:style>
  <w:style w:type="paragraph" w:styleId="BlockText">
    <w:name w:val="Block Text"/>
    <w:basedOn w:val="Normal"/>
    <w:rsid w:val="00B61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06E"/>
    <w:rPr>
      <w:sz w:val="16"/>
      <w:vertAlign w:val="superscript"/>
    </w:rPr>
  </w:style>
  <w:style w:type="character" w:customStyle="1" w:styleId="Symbols">
    <w:name w:val="Symbols"/>
    <w:basedOn w:val="DefaultParagraphFont"/>
    <w:rsid w:val="00B6106E"/>
    <w:rPr>
      <w:rFonts w:ascii="Symbol" w:hAnsi="Symbol"/>
    </w:rPr>
  </w:style>
  <w:style w:type="character" w:customStyle="1" w:styleId="MenuOptions">
    <w:name w:val="Menu Options"/>
    <w:basedOn w:val="DefaultParagraphFont"/>
    <w:rsid w:val="00B61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06E"/>
    <w:rPr>
      <w:b/>
    </w:rPr>
  </w:style>
  <w:style w:type="character" w:customStyle="1" w:styleId="Underlined">
    <w:name w:val="Underlined"/>
    <w:basedOn w:val="DefaultParagraphFont"/>
    <w:rsid w:val="00B6106E"/>
    <w:rPr>
      <w:u w:val="single"/>
    </w:rPr>
  </w:style>
  <w:style w:type="paragraph" w:customStyle="1" w:styleId="TableBodyTextRight">
    <w:name w:val="Table Body Text Right"/>
    <w:basedOn w:val="TableBodyText"/>
    <w:rsid w:val="00B61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06E"/>
    <w:rPr>
      <w:sz w:val="18"/>
    </w:rPr>
  </w:style>
  <w:style w:type="paragraph" w:customStyle="1" w:styleId="BodySmallRight">
    <w:name w:val="Body Small Right"/>
    <w:basedOn w:val="BodyTextRight"/>
    <w:rsid w:val="00B6106E"/>
    <w:rPr>
      <w:sz w:val="18"/>
      <w:szCs w:val="18"/>
    </w:rPr>
  </w:style>
  <w:style w:type="paragraph" w:customStyle="1" w:styleId="MarginEdition">
    <w:name w:val="Margin Edition"/>
    <w:basedOn w:val="MarginNote"/>
    <w:rsid w:val="00B61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06E"/>
    <w:rPr>
      <w:sz w:val="2"/>
      <w:szCs w:val="2"/>
    </w:rPr>
  </w:style>
  <w:style w:type="character" w:customStyle="1" w:styleId="Small">
    <w:name w:val="Small"/>
    <w:basedOn w:val="DefaultParagraphFont"/>
    <w:rsid w:val="00B6106E"/>
    <w:rPr>
      <w:sz w:val="16"/>
    </w:rPr>
  </w:style>
  <w:style w:type="paragraph" w:customStyle="1" w:styleId="WideTable">
    <w:name w:val="Wide Table"/>
    <w:basedOn w:val="Normal"/>
    <w:rsid w:val="00B61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06E"/>
  </w:style>
  <w:style w:type="paragraph" w:styleId="Quote">
    <w:name w:val="Quote"/>
    <w:basedOn w:val="Heading1"/>
    <w:link w:val="QuoteChar"/>
    <w:qFormat/>
    <w:rsid w:val="00B61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06E"/>
    <w:pPr>
      <w:pageBreakBefore/>
    </w:pPr>
  </w:style>
  <w:style w:type="paragraph" w:customStyle="1" w:styleId="Border">
    <w:name w:val="Border"/>
    <w:basedOn w:val="Normal"/>
    <w:qFormat/>
    <w:rsid w:val="00B61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06E"/>
    <w:rPr>
      <w:u w:val="single"/>
    </w:rPr>
  </w:style>
  <w:style w:type="character" w:customStyle="1" w:styleId="BoldandItalics">
    <w:name w:val="Bold and Italics"/>
    <w:qFormat/>
    <w:rsid w:val="00B6106E"/>
    <w:rPr>
      <w:b/>
      <w:i/>
      <w:u w:val="none"/>
    </w:rPr>
  </w:style>
  <w:style w:type="paragraph" w:styleId="BalloonText">
    <w:name w:val="Balloon Text"/>
    <w:basedOn w:val="Normal"/>
    <w:link w:val="BalloonTextChar"/>
    <w:rsid w:val="00B61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06E"/>
    <w:pPr>
      <w:spacing w:before="0" w:after="0"/>
    </w:pPr>
  </w:style>
  <w:style w:type="paragraph" w:customStyle="1" w:styleId="BodyTextBold">
    <w:name w:val="Body Text Bold"/>
    <w:basedOn w:val="BodyText"/>
    <w:qFormat/>
    <w:rsid w:val="00B6106E"/>
    <w:rPr>
      <w:b/>
    </w:rPr>
  </w:style>
  <w:style w:type="character" w:styleId="Hyperlink">
    <w:name w:val="Hyperlink"/>
    <w:basedOn w:val="DefaultParagraphFont"/>
    <w:uiPriority w:val="99"/>
    <w:unhideWhenUsed/>
    <w:rsid w:val="00805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3728</Characters>
  <Application>Microsoft Office Word</Application>
  <DocSecurity>0</DocSecurity>
  <Lines>186</Lines>
  <Paragraphs>105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MEM11022 Operate fixed/moveable load shifting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